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ACJC/262/2014 vom 23. Oktober 2013</w:t>
      </w:r>
    </w:p>
    <w:p>
      <w:r>
        <w:t>GE Cour de justice, 2013-10-23, FR</w:t>
      </w:r>
    </w:p>
    <w:p>
      <w:r>
        <w:rPr>
          <w:b/>
        </w:rPr>
        <w:t xml:space="preserve">Quelle: </w:t>
      </w:r>
      <w:r>
        <w:t>https://mcp.opencaselaw.ch/entscheid/ge_gerichte_ACJC_262_2014</w:t>
      </w:r>
    </w:p>
    <w:p>
      <w:r>
        <w:t>FR: GE_GERICHTE ACJC/262/2014 du 23 octobre 2013</w:t>
      </w:r>
    </w:p>
    <w:p>
      <w:r>
        <w:t>IT: GE_GERICHTE ACJC/262/2014 del 23 ottobre 2013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août 2012, signée par les parties, ainsi que la requête de mesures protectrices de l'union conjugale du 8 septembre 2012, la requête de mesures protectrices urgentes du 12 octobre 2012, et le procès-verbal d'audience du 4 décembre 2012 dans la procédure C/3______. A______ a, en outre, déposé ses courriers des 1er et 12 octobre 2012 au Tribunal, la requête d'avis au débiteur de B______ du 19 juin 2013 et sa réponse à cette requête du 23 juillet 2013 ainsi que celle de la curatrice des enfants C______ et D______ de la même date.</w:t>
      </w:r>
    </w:p>
    <w:p>
      <w:r>
        <w:t>- 4/6 -</w:t>
      </w:r>
    </w:p>
    <w:p>
      <w:r>
        <w:t>C/8807/2013 Lors de l'audience du Tribunal du 19 août 2013, A______ s'est opposé à la requête invoquant l'invalidation du 1er octobre 2012 [par lui-même] et celle du 4 décembre 2012 par B______. Celle-ci a relevé que l'invalidation unilatérale du 1er octobre n'était pas valable et que le 4 décembre, elle n'avait pas invalidé la convention mais demandé une modification de celle-ci concernant la garde, les conclusions financières restant identiques. Sur quoi, le Tribunal a indiqué aux parties qu'il retenait la cause à juger. EN DROIT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