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ACJC/261/2015 vom 27. Oktober 2014</w:t>
      </w:r>
    </w:p>
    <w:p>
      <w:r>
        <w:t>GE Cour de justice, 2014-10-27, FR</w:t>
      </w:r>
    </w:p>
    <w:p>
      <w:r>
        <w:rPr>
          <w:b/>
        </w:rPr>
        <w:t xml:space="preserve">Quelle: </w:t>
      </w:r>
      <w:r>
        <w:t>https://mcp.opencaselaw.ch/entscheid/ge_gerichte_ACJC_261_2015</w:t>
      </w:r>
    </w:p>
    <w:p>
      <w:r>
        <w:t>FR: GE_GERICHTE ACJC/261/2015 du 27 octobre 2014</w:t>
      </w:r>
    </w:p>
    <w:p>
      <w:r>
        <w:t>IT: GE_GERICHTE ACJC/261/2015 del 27 ottobre 2014</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L'article 326 al. 1 CPC prévoit que les allégations de faits et preuve nouvelles sont irrecevables dans le cadre du recours. Les allégations nouvelles formulées par les parties, notamment celles figurant dans la réplique, sont ainsi irrecevables.</w:t>
      </w:r>
    </w:p>
    <w:p>
      <w:r>
        <w:rPr>
          <w:b/>
        </w:rPr>
        <w:t>E. 2</w:t>
      </w:r>
    </w:p>
    <w:p>
      <w:r>
        <w:t>septembre 2011 consid. 3.1). Néanmoins, ce pouvoir d'examen limité du juge de la mainlevée ne signifie pas que ce magistrat ne pourrait tenir compte que du dispositif du jugement invoqué. Il peut aussi prendre en considération les motifs du jugement pour décider si ce</w:t>
      </w:r>
    </w:p>
    <w:p>
      <w:r>
        <w:t>- 5/7 -</w:t>
      </w:r>
    </w:p>
    <w:p>
      <w:r>
        <w:t>C/12213/2014 dernier constitue un titre de mainlevée au sens de l'art. 80 al. 1 LP (ATF 134 III 656 consid. 5.3.2); ce n'est que si le sens du dispositif est douteux et que ce doute ne peut être levé à l'examen des motifs que la mainlevée doit être refusée. Le juge peut aussi prendre en considération à cette fin d'autres documents, dans la mesure où le jugement y renvoie (ATF 135 III 315 consid. 2.3; arrêt du Tribunal fédéral 5A_217/2012 du 9 juillet 2012 consid. 6.1.1; 5A_487/2011 du 2 septembre 2011 consid. 3.1).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5A_635/2008 du 23 janvier 2009).</w:t>
      </w:r>
    </w:p>
    <w:p>
      <w:r>
        <w:rPr>
          <w:b/>
        </w:rPr>
        <w:t>E. 2.1</w:t>
      </w:r>
    </w:p>
    <w:p>
      <w:r>
        <w:t>Aux termes de l'art. 80 LP, le créancier qui est au bénéfice d'un jugement exécutoire peut requérir du juge la mainlevée définitive de l'opposition.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Si ce jugement est peu clair ou incomplet, il appartient au juge du fond de l'interpréter (ATF 135 III 315 consid. 2.3; 134 III 656 consid. 5.3.2; arrêt du Tribunal fédéral 5A_217/2012 du 9 juillet 2012 consid. 6.1.1; 5A_487/2011 du</w:t>
      </w:r>
    </w:p>
    <w:p>
      <w:r>
        <w:rPr>
          <w:b/>
        </w:rPr>
        <w:t>E. 2.2</w:t>
      </w:r>
    </w:p>
    <w:p>
      <w:r>
        <w:t>D'après la jurisprudence, le commandement de payer et la requête de mainlevée en matière de prestations périodiques doivent renseigner exactement le débiteur sur chaque détail de la créance déduite en poursuite et sur les imputations à faire valoir. Cette exigence n'a pas pour seule raison d'être de permettre au débiteur de préparer sa défense, mais elle est encore destinée à donner au juge de la mainlevée les moyens de trancher une contestation éventuelle portant sur la libération du débiteur. Il appartient au juge d'examiner d'office cette question (arrêt de la Cour de justice du 5 avril 1984, SJ 1988 p. 506). Il ne s'agit cependant pas là d'une règle absolue dans la mesure où il suffit que le débiteur sache à quoi s'en tenir, sans que le commandement de payer et la requête de mainlevée le renseignent de façon spécifique sur le détail de chaque créance s'il dispose d'éléments clairs et cohérents quant à la teneur de la créance en poursuite (arrêt du Tribunal fédéral 5P.149/2005 du 21 décembre 2005 consid. 2.3).</w:t>
      </w:r>
    </w:p>
    <w:p>
      <w:r>
        <w:rPr>
          <w:b/>
        </w:rPr>
        <w:t>E. 2.3</w:t>
      </w:r>
    </w:p>
    <w:p>
      <w:r>
        <w:t>En l'espèce, la recourante a notifié à l'intimé en septembre 2013 deux commandements de payer au titre de différents montants dus, selon elle, en vertu du jugement de mesures protectrices de l'union conjugale du 17 juillet 1998. Il ressort cependant du jugement de divorce du 23 septembre 2003 qu'à cette date les époux, qui ont renoncé à toute contribution d'entretien post-divorce, ont reconnu avoir liquidé leurs rapports patrimoniaux et n'avoir plus aucune prétention à faire valoir l'un envers l'autre de ce chef. Cette formulation implique soit qu'aucun arriéré de contributions n'était dû au moment du divorce, soit que la recourante a alors renoncé à les réclamer. En toutes hypothèses, le prononcé de ce jugement fait obstacle aux prétentions formulées en septembre 2013 par la recourante, tant en ce qui concerne la période antérieure au divorce que la période postérieure à celui-ci.</w:t>
      </w:r>
    </w:p>
    <w:p>
      <w:r>
        <w:t>- 6/7 -</w:t>
      </w:r>
    </w:p>
    <w:p>
      <w:r>
        <w:t>C/12213/2014 A cela s'ajoute le fait que, comme l'a relevé à juste titre le Tribunal, la formulation des deux commandements de payer ne respecte pas les exigences de précision posées par la jurisprudence. En effet, il est impossible de comprendre à la lecture desdits commandements de payer quelle est la période exacte pour laquelle les montants réclamés le sont. La lecture de la requête de mainlevée n'apporte sur ce point aucun éclaircissement. Le fait que certaines dates aient été indiquées en regard des postes 6 à 8 n'est à cet égard par suffisant; ces dates sont au demeurant postérieures à la date d'entrée en vigueur du jugement du 23 septembre 2003. En outre, la quotité des frais mis à charge de l'intimé à teneur du jugement de mesures protectrices du 17 juillet 1998 ne ressort ni du jugement, ni des pièces produites. C'est par conséquent à bon droit que le Tribunal a débouté la recourante des fins de sa requête, de sorte que le recours doit être rejeté.</w:t>
      </w:r>
    </w:p>
    <w:p>
      <w:r>
        <w:rPr>
          <w:b/>
        </w:rPr>
        <w:t>E. 3</w:t>
      </w:r>
    </w:p>
    <w:p>
      <w:r>
        <w:t>La recourante, qui succombe, sera condamnée aux frais judiciaires (art. 106 al. 1 CPC), arrêtés à 750 fr. (art. 61 al. 1 OELP) et compensés avec l'avance de frais effectuée par ses soins, laquelle reste acquise à l'Etat de Genève (art. 111 al. 1 CPC). La recourante sera en outre condamnée à verser à l'intimé des dépens arrêtés à 1'500 fr., débours et TVA compris (art. 85, 89 et 90 RTFMC; art. 25 et 26 LaCC). * * * * *</w:t>
      </w:r>
    </w:p>
    <w:p>
      <w:r>
        <w:t>- 7/7 -</w:t>
      </w:r>
    </w:p>
    <w:p>
      <w:r>
        <w:t>C/12213/2014 PAR CES MOTIFS, La Chambre civile : A la forme : Déclare recevable le recours interjeté par A______ contre le jugement JTPI/13497/2014 rendu le 27 octobre 2014 par le Tribunal de première instance dans la cause C/12213/2014-8 SML. Au fond : Le rejette. Déboute les parties de toutes autres conclusions. Sur les frais : Arrête les frais judiciaires du recours à 750 fr. Les met à la charge de A______ et dit qu'ils sont compensés avec l'avance de frais fournie par cette dernière, qui reste acquise à l'Etat de Genève. Condamne A______ à payer à B______ la somme de 1'500 fr. à titre de dépens du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