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ACJC/260/2025 vom 20. Februar 2025</w:t>
      </w:r>
    </w:p>
    <w:p>
      <w:r>
        <w:t>GE Cour de justice, 2025-02-20, FR</w:t>
      </w:r>
    </w:p>
    <w:p>
      <w:r>
        <w:rPr>
          <w:b/>
        </w:rPr>
        <w:t xml:space="preserve">Quelle: </w:t>
      </w:r>
      <w:r>
        <w:t>https://mcp.opencaselaw.ch/entscheid/ge_gerichte_ACJC_260_2025</w:t>
      </w:r>
    </w:p>
    <w:p>
      <w:r>
        <w:t>FR: GE_GERICHTE ACJC/260/2025 du 20 février 2025</w:t>
      </w:r>
    </w:p>
    <w:p>
      <w:r>
        <w:t>IT: GE_GERICHTE ACJC/260/2025 del 20 febbraio 2025</w:t>
      </w:r>
    </w:p>
    <w:p>
      <w:pPr>
        <w:pStyle w:val="Heading2"/>
      </w:pPr>
      <w:r>
        <w:t>Erwägungen</w:t>
      </w:r>
    </w:p>
    <w:p>
      <w:r>
        <w:rPr>
          <w:b/>
        </w:rPr>
        <w:t>E. 1</w:t>
      </w:r>
    </w:p>
    <w:p>
      <w:r>
        <w:t>La Cour de céans est compétente à raison du lieu (art. 36 CPC), de la matière (art. 5 al. 1 lit. a et d et al. 2 CPC; art. 120 al. 1 lit. a LOJ) et de la valeur litigieuse (art. 5 al. 1 lit. d CPC) pour connaître des conclusions formulées à titre superprovisionnel par la requérante.</w:t>
      </w:r>
    </w:p>
    <w:p>
      <w:r>
        <w:rPr>
          <w:b/>
        </w:rPr>
        <w:t>E. 2</w:t>
      </w:r>
    </w:p>
    <w:p>
      <w:r>
        <w:t>La requérante soutient que les agissements de la citée violent leur accord tendant à la cession du C______ et de la marque qui y est associée. Il devait être fait interdiction à la citée de poursuivre ses agissements qui lui causaient un dommage résultant de sa perte de crédibilité auprès de ses partenaires commerciaux, sous peine pour elle de subir un préjudice irréparable.</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L'art. 262 CPC prévoit que le tribunal peut ordonner toute mesure provisionnelle propre à prévenir ou à faire cesser le préjudice, notamment l'interdiction et l'ordre de cessation d'un état de fait illicite. En cas d'urgence particulière, notamment s'il y a risque d'entrave à leur exécution, le juge peut ordonner des mesures provisionnelles immédiatement, sans entendre les parties (art. 265 al. 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2ème éd., 2019, n 3 ss ad art. 261 CPC). Est difficilement réparable le préjudice qui sera plus tard impossible ou difficile à mesurer ou à compenser entièrement; en principe, un préjudice financier n'est pas difficilement réparable (JdT 2016 III 188; JdT 2013 III 131). Une violation des droits de propriété intellectuelle ou de droit absolus, tels les droits de la personnalité, est susceptible de constituer un dommage difficilement réparable (SPRECHER, Basler Kommentar, Zivilprozessordnung, 4ème éd., 2024, n. 34 ad art. 261 CPC). Le juge doit procéder à la pesée des intérêts en présence, c'est-à-dire à l'appréciation des désavantages respectifs pour chacune des parties selon que la mesure requise est ou non ordonnée (HOHL, Procédure civile I, n° 1780). La</w:t>
      </w:r>
    </w:p>
    <w:p>
      <w:r>
        <w:t>- 5/6 -</w:t>
      </w:r>
    </w:p>
    <w:p>
      <w:r>
        <w:t>C/3735/2025 mesure ordonnée doit être proportionnée au risque d'atteinte (arrêt du Tribunal fédéral 4A_611/2011 du 3 janvier 2012 consid. 4.1).</w:t>
      </w:r>
    </w:p>
    <w:p>
      <w:r>
        <w:rPr>
          <w:b/>
        </w:rPr>
        <w:t>E. 2.1.2</w:t>
      </w:r>
    </w:p>
    <w:p>
      <w:r>
        <w:t>L'art. 13 al. 1 LPM dispose que le droit à la marque confère au titulaire le droit exclusif de faire usage de la marque pour distinguer les produits ou les services enregistrés et d’en disposer. Selon l'art. 3 LCD, agit de façon déloyale celui qui, notamment dénigre autrui, ses marchandises, ses œuvres, ses prestations, ses prix ou ses affaires par des allégations inexactes, fallacieuses ou inutilement blessantes (let. a) ou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Celui qui subit une atteinte de son droit à la marque ou qui, par un acte de concurrence déloyale, subit une atteinte dans sa clientèle, son crédit ou sa réputation professionnelle, ses affaires ou ses intérêts économiques en général ou celui qui en est menacé peut notamment demander au juge d'interdire cette atteinte si elle est imminente ou de la faire cesser si elle dure encore (art. 55 al. 1 let. a et b LPM; art. 9 al. 1 let. a et b LCD).</w:t>
      </w:r>
    </w:p>
    <w:p>
      <w:r>
        <w:rPr>
          <w:b/>
        </w:rPr>
        <w:t>E. 2.2</w:t>
      </w:r>
    </w:p>
    <w:p>
      <w:r>
        <w:t>En l'espèce, en l'état, à teneur des pièces produites, la requérante n'est pas inscrite comme titulaire de la marque dont elle se prévaut, laquelle est enregistrée au nom de la citée. Il ne peut donc être retenu, à ce stade, que cette dernière ne serait pas autorisée à en faire usage ou que les informations communiquées par elle à cet égard seraient inexactes. Au surplus, la requérante invoque à l'appui de sa requête le risque de perte de crédibilité envers ses partenaires commerciaux. Il apparaît toutefois que la citée a d'ores et déjà adressé un courriel aux clients de la requérante et que certains se sont interrogés sur le contenu dudit courriel. Aucun élément permet de retenir que d'autres clients pourraient encore être contactés dans un avenir immédiat. Il n'apparaît dès lors pas que la cause présente une urgence particulière nécessitant le prononcé de mesures superprovisionnelles avant audition de la citée afin d'éviter que la clientèle de la requérante ne soit contactée par l'intimée. En définitive, il ressort de ce qui précède que les conditions pour le prononcé des mesures superprovisionnelles requises ne sont pas remplies. Cela étant, un délai de dix jours dès la notification du présent arrêt sera imparti à la citée pour répondre à la requête (art. 265 al. 2 CPC)</w:t>
      </w:r>
    </w:p>
    <w:p>
      <w:r>
        <w:rPr>
          <w:b/>
        </w:rPr>
        <w:t>E. 3</w:t>
      </w:r>
    </w:p>
    <w:p>
      <w:r>
        <w:t>Le sort des frais sera renvoyé à la décision sur mesures provisionnelles (art. 104 al. 3 CPC). * * * * *</w:t>
      </w:r>
    </w:p>
    <w:p>
      <w:r>
        <w:t>- 6/6 -</w:t>
      </w:r>
    </w:p>
    <w:p>
      <w:r>
        <w:t>C/3735/2025 PAR CES MOTIFS, La Chambre civile :</w:t>
      </w:r>
    </w:p>
    <w:p>
      <w:r>
        <w:t>Statuant sur mesures superprovisionnelles : Rejette la requête formée le 17 février 2025 par A______ dans la cause C/3735/2025. Impartit à l'ASSOCIATION B______ un délai de dix jours dès notification du présent arrêt pour répondre par écrit à la requête. Dit qu'il sera statué sur les frais de la présente décision avec la décision sur mesures provisionnelles. Siégeant : Monsieur Laurent RIEBEN, président; Madame Fabienne GEISINGER-MARIETHOZ, Madame Ursula ZEHETBAUER GHAVAMI, juges; Madame Sandra CARRIER, greffière.</w:t>
      </w:r>
    </w:p>
    <w:p>
      <w:r>
        <w:t>Le président : Laurent RIEBEN</w:t>
      </w:r>
    </w:p>
    <w:p>
      <w:r>
        <w:t>La greffière : Sandra CARRIER</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