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ACJC/260/2015 vom 5. November 2014</w:t>
      </w:r>
    </w:p>
    <w:p>
      <w:r>
        <w:t>GE Cour de justice, 2014-11-05, FR</w:t>
      </w:r>
    </w:p>
    <w:p>
      <w:r>
        <w:rPr>
          <w:b/>
        </w:rPr>
        <w:t xml:space="preserve">Quelle: </w:t>
      </w:r>
      <w:r>
        <w:t>https://mcp.opencaselaw.ch/entscheid/ge_gerichte_ACJC_260_2015</w:t>
      </w:r>
    </w:p>
    <w:p>
      <w:r>
        <w:t>FR: GE_GERICHTE ACJC/260/2015 du 5 novembre 2014</w:t>
      </w:r>
    </w:p>
    <w:p>
      <w:r>
        <w:t>IT: GE_GERICHTE ACJC/260/2015 del 5 novembre 2014</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Le recours a été formé dans le délai fixé par la loi auprès de la Cour, de sorte qu'il est recevable sous cet angle.</w:t>
      </w:r>
    </w:p>
    <w:p>
      <w:r>
        <w:rPr>
          <w:b/>
        </w:rPr>
        <w:t>E. 1.2</w:t>
      </w:r>
    </w:p>
    <w:p>
      <w:r>
        <w:t>Selon l'art. 321 al. 2 CPC, le recours doit être écrit et motivé.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CPC, Code de</w:t>
      </w:r>
    </w:p>
    <w:p>
      <w:r>
        <w:t>- 4/7 -</w:t>
      </w:r>
    </w:p>
    <w:p>
      <w:r>
        <w:t>C/10933/2014 procédure civile commenté, BOHNET/HALDY/JEANDIN/SCHWEIZER/TAPPY [ED.], 2011, n. 4 et 5 ad art. 321 CPC). Une motivation succincte ou sommaire peut, suivant les circonstances, être suffisante (REETZ/THEILER, in Kommentar zur Schweizerischen Zivilprozessordnung [ZPO], SUTTER-SOMM/HASENBÖHLER/LEUENBERGER, 2ème éd., 2013, n. 37 s. ad art. 311 CPC). Il incombe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Dans le cas d'espèce, le recours, rédigé par un justiciable agissant en personne, répond aux exigences de motivation précitées, interprétées de manière large. Bien que la recourante n'ait pas expressément mentionné de conclusions relatives à l'annulation de la décision de première instance, la Cour comprend qu'elle sollicite la mise à néant du jugement entrepris et le prononcé de la mainlevée provisoire de l'opposition formée au commandement de payer. Le recours est ainsi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 La maxime des débats s'applique et la preuve des faits allégués doit être apportée par titre (art. 55 al. 1, 255 let. a a contrario et 254 CPC). En outre, la maxime de disposition s'applique (art. 58 al. 1 CPC).</w:t>
      </w:r>
    </w:p>
    <w:p>
      <w:r>
        <w:rPr>
          <w:b/>
        </w:rPr>
        <w:t>E. 3</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HOFMANN/LUSCHER, Le code de procédure civile, 2009, p. 202). Partant, pour examiner si la loi a été violée, la Cour de justice doit se placer dans la situation où se trouvait le premier juge lorsque celui-ci a rendu la décision attaquée.</w:t>
      </w:r>
    </w:p>
    <w:p>
      <w:r>
        <w:t>- 5/7 -</w:t>
      </w:r>
    </w:p>
    <w:p>
      <w:r>
        <w:t>C/10933/2014 Les allégations nouvelles des parties concernant les objectifs à atteindre par la recourante ne sont donc pas recevables.</w:t>
      </w:r>
    </w:p>
    <w:p>
      <w:r>
        <w:rPr>
          <w:b/>
        </w:rPr>
        <w:t>E. 4</w:t>
      </w:r>
    </w:p>
    <w:p>
      <w:r>
        <w:t>La recourante reproche au Tribunal de ne pas avoir prononcé la mainlevée de l'opposition à la poursuite.</w:t>
      </w:r>
    </w:p>
    <w:p>
      <w:r>
        <w:rPr>
          <w:b/>
        </w:rPr>
        <w:t>E. 4.1</w:t>
      </w:r>
    </w:p>
    <w:p>
      <w:r>
        <w:t>En vertu de l'art. 82 LP, le créancier dont la poursuite se fonde sur une reconnaissance de dette constatée par acte authentique ou sous seing privé peut requérir la mainlevée provisoire (al. 1); le juge prononce la mainlevée provisoire si le débiteur ne rend pas immédiatement vraisemblable sa libération (al. 2).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(ATF 132 III 480 consid. 4.1; ATF 130 III 87 consid. 3.1; ATF 122 III 125 consid. 2).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(arrêts du Tribunal fédéral 5A_465/2014 du 20 août 2014 consid. 7.2.1.2; 5A_367/2007 du 15 octobre 2007 consid. 3.1). Ainsi, le contrat de travail (art. 319 ss CO) vaut, en principe, reconnaissance de dette dans la poursuite en recouvrement du salaire s'il est constant que le travail a été fourni (arrêt du Tribunal fédéral 5A_513/2010 du 19 octobre 2010 consid. 3.2). En présence d'une reconnaissance de dette conditionnelle, la mainlevée ne peut être prononcée qu'avec la preuve, qui doit être apportée immédiatement, que les conditions sont devenues sans objet ou ont été respectées. Dans le doute sur la nature de la condition, il faut opter pour la nature suspensive et non résolutoire de celle-ci (KRAUSKOPF, La mainlevée provisoire : quelques jurisprudences récentes, in JdT 2008 II 23, 27; arrêts du Tribunal fédéral 5A_303/2013 du 24 septembre 2013 consid. 4.1, 5A_83/2011 du 2 septembre 2011 consid. 5.1). Le juge de la mainlevée ne statue pas sur l'existence de la créance; il se borne à vérifier - d'office - si, formellement, il existe un titre qui permet la continuation de la poursuite et si les documents produits le cas échéant par le débiteur rendent sa libération vraisemblable. Son pouvoir d'instruction est limité. Il n'y a pas de libre appréciation des preuves, car une rigueur formelle caractérise la procédure (SCHMIDT, in Commentaire romand, LP, 2005, n. 34 ss ad art. 82 LP). Le juge de la mainlevée ne statue pas et ne doit pas statuer sur le fond du droit (GILLIERON, Commentaire de la loi fédérale sur la poursuite pour dettes et la faillite, vol. I, 1999, n. 22 ad art. 82 LP).</w:t>
      </w:r>
    </w:p>
    <w:p>
      <w:r>
        <w:t>- 6/7 -</w:t>
      </w:r>
    </w:p>
    <w:p>
      <w:r>
        <w:t>C/10933/2014</w:t>
      </w:r>
    </w:p>
    <w:p>
      <w:r>
        <w:rPr>
          <w:b/>
        </w:rPr>
        <w:t>E. 4.2</w:t>
      </w:r>
    </w:p>
    <w:p>
      <w:r>
        <w:t>En l'espèce, la recourante a produit un certificat de travail indiquant la date de son entrée en fonction, de sorte que l'échelonnement du salaire pourrait être calculé. Cependant, comme l'a a juste titre constaté le Tribunal, le contrat de travail produit par la recourante prévoit un échelonnement du salaire soumis à une condition, soit l'atteinte d'objectifs "C______". Ces objectifs semblent avoir été fixés lors de la conclusion du contrat puisque la version du contrat de travail produite par la recourante les mentionne. La recourante n'a cependant pas prouvé, ni même allégué, avoir atteint ces objectifs ou qu'il ait été renoncé à cette condition en cours de contrat et aucune pièce du dossier ne permet de l'affirmer. Force est dès lors de constater que le titre sur lequel se base la poursuite est soumis à une condition dont la recourante n'a pas prouvé immédiatement la réalisation ou la caducité. Au vu de ce qui précède, c'est à bon droit que le Tribunal a débouté la recourante de ses conclusions en mainlevée de l'opposition. Le recours sera rejeté.</w:t>
      </w:r>
    </w:p>
    <w:p>
      <w:r>
        <w:rPr>
          <w:b/>
        </w:rPr>
        <w:t>E. 5</w:t>
      </w:r>
    </w:p>
    <w:p>
      <w:r>
        <w:t>La recourante, qui succombe, sera condamnée aux frais judiciaires, arrêtés à 300 fr. et compensés avec l'avance de frais qu'elle a versée, laquelle reste acquise à l'Etat de Genève (art. 106 al. 1 et 111 al. 1 CPC; art 48 et 61 al. 1 OELP).</w:t>
      </w:r>
    </w:p>
    <w:p>
      <w:r>
        <w:t>Le solde de l'avance versée lui sera restitué.</w:t>
      </w:r>
    </w:p>
    <w:p>
      <w:r>
        <w:t>La recourante sera condamnée à verser à l'intimée, représentée par un avocat, un montant de 400 fr., débours et TVA compris, à titre de dépens de recours (art. 96 et 105 al. 2 CPC; art. 85, 89 et 90 RTFMC; art. 25 et 26 LaCC; art. 25 LTVA). * * * * *</w:t>
      </w:r>
    </w:p>
    <w:p>
      <w:r>
        <w:t>- 7/7 -</w:t>
      </w:r>
    </w:p>
    <w:p>
      <w:r>
        <w:t>C/10933/2014 PAR CES MOTIFS, La Chambre civile : A la forme : Déclare recevable le recours interjeté le 18 novembre 2014 par A______ contre le jugement JTPI/13933/2014 rendu le 5 novembre 2014 par le Tribunal de première instance dans la cause C/10933/2014-4 SML. Au fond : Rejette ce recours. Déboute les parties de toutes autres conclusions. Sur les frais : Condamne A______ aux frais judiciaires du recours, fixés à 300 fr., lesquels sont compensés avec l'avance de frais fournie, qui reste acquise à l'Etat de Genève à concurrence de ce montant. Ordonne aux Services financiers du Pouvoir judiciaire de rembourser à A______ le solde de l'avance de frais, soit 300 fr. Condamne A______ à verser à B______SA la somme de 400 fr. à titre de dépens du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