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ACJC/259/2022 vom 17. August 2021</w:t>
      </w:r>
    </w:p>
    <w:p>
      <w:r>
        <w:t>GE Cour de justice, 2021-08-17, FR</w:t>
      </w:r>
    </w:p>
    <w:p>
      <w:r>
        <w:rPr>
          <w:b/>
        </w:rPr>
        <w:t xml:space="preserve">Quelle: </w:t>
      </w:r>
      <w:r>
        <w:t>https://mcp.opencaselaw.ch/entscheid/ge_gerichte_ACJC_259_2022</w:t>
      </w:r>
    </w:p>
    <w:p>
      <w:r>
        <w:t>FR: GE_GERICHTE ACJC/259/2022 du 17 août 2021</w:t>
      </w:r>
    </w:p>
    <w:p>
      <w:r>
        <w:t>IT: GE_GERICHTE ACJC/259/2022 del 17 agosto 2021</w:t>
      </w:r>
    </w:p>
    <w:p>
      <w:pPr>
        <w:pStyle w:val="Heading2"/>
      </w:pPr>
      <w:r>
        <w:t>Erwägungen</w:t>
      </w:r>
    </w:p>
    <w:p>
      <w:r>
        <w:rPr>
          <w:b/>
        </w:rPr>
        <w:t>E. 1.1</w:t>
      </w:r>
    </w:p>
    <w:p>
      <w:r>
        <w:t>L'appel est recevable contre les décisions finales lorsque la valeur litigieuse au dernier état des conclusions est de 10'000 fr. au moins (art. 308 al. 1 et 2 CPC). En l'espèce, la valeur litigieuse est atteinte, de sorte que la voie de l'appel est ouverte. L'appel, interjeté dans le délai et suivant la forme prescrits par la loi, est recevable (art. 130, 131, 142 al. 1 et 311 al. 1 CPC).</w:t>
      </w:r>
    </w:p>
    <w:p>
      <w:r>
        <w:rPr>
          <w:b/>
        </w:rPr>
        <w:t>E. 1.2</w:t>
      </w:r>
    </w:p>
    <w:p>
      <w:r>
        <w:t>La Cour revoit la cause avec un plein pouvoir d'examen (art. 310 CPC), dans la limite des griefs suffisamment motivés qui sont formulés (arrêt du Tribunal fédéral 4A_290/2014 du 1er septembre 2014 consid. 5).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L'appelant soutient que, contrairement à ce qu'a retenu le Tribunal, les possibilités effectives de construire sur la parcelle litigieuse n'étaient pas seulement très limitées, mais ladite parcelle était inconstructible ab initio. L'inconstructibilité de la parcelle constituait l'objet de l'erreur dont il se prévalait pour fonder l'invalidation des contrats, laquelle existait au moment de la conclusion des promesses de vente. L'objet de son erreur ne portait pas sur le fait futur de la délivrance de l'autorisation de construire ou l'impossibilité d'obtenir une dérogation, dont le refus constitue un risque que tout entrepreneur dans le domaine de l'immobilier accepte. Toute construction, quelles qu'en soient les configurations, était exclue sur la parcelle litigieuse au vu de la nature du terrain, de sa situation et du préavis défavorable rendu par le SABRA.</w:t>
      </w:r>
    </w:p>
    <w:p>
      <w:r>
        <w:rPr>
          <w:b/>
        </w:rPr>
        <w:t>E. 2.1.1</w:t>
      </w:r>
    </w:p>
    <w:p>
      <w:r>
        <w:t>Selon l'art. 23 CO, le contrat n'oblige pas celle des parties qui, au moment de le conclure, était dans une erreur essentielle. Il ressort de l'art. 24 al. 1 ch. 4 CO que l'erreur est essentielle notamment lorsqu'elle porte sur des faits que la loyauté commerciale permettait à celui qui se</w:t>
      </w:r>
    </w:p>
    <w:p>
      <w:r>
        <w:t>- 10/13 -</w:t>
      </w:r>
    </w:p>
    <w:p>
      <w:r>
        <w:t>C/9480/2019 prévaut de son erreur de considérer comme des éléments nécessaires du contrat. Pour que ce cas d'erreur essentielle soit réalisé, il faut tout d'abord que le cocontractant puisse se rendre compte, de bonne foi, que l'erreur de l'autre partie porte sur un fait qui était objectivement de nature à la déterminer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(ATF 135 III 537 consid. 2.2 p. 541 s.; 132 III 737 consid. 1.3 p. 741; 129 III 363 consid. 5.3 p. 365). Ce que les parties avaient à l'esprit au moment de conclure ressortit au fait; savoir si l'erreur doit être qualifiée d'essentielle au sens de l'art. 24 al. 1 ch. 4 CO est en revanche une question de droit (ATF 135 III 537 consid. 2.2 p. 542; 113 II 25 consid. 1a p. 27). En principe, l’ignorance d’une règle de droit ou d’une loi ne peut donner lieu à une invalidation pour erreur. La connaissance du droit est présupposée objectivement comme praesumptio de iure, condition de l’efficacité de toute règle juridique. Le Tribunal fédéral a refusé d’admettre une invalidation pour erreur là où l’ignorance touche des lois et des règles qui, par leur nature générale, doivent être connues de tous (SCHMIDLIN/CAMPI, Commentaire romand, CO I, 3ème éd., 2021, n. 85 ad art. 23/24 CO). La connaissance générale du droit ne peut toutefois plus être présupposée dans les secteurs qui, par leur complexité, exigent un savoir spécifique, comme dans les assurances, la bourse ou l’immobilier. Pourtant, même dans ces domaines, l’ignorance de la règle n’est admissible que si l’on ne pouvait ou ne devait pas attendre de la partie en erreur qu’elle se procure les informations nécessaires (SCHMIDLIN/CAMPI, op. cit., n. 86 ad art. 23/24 CO).</w:t>
      </w:r>
    </w:p>
    <w:p>
      <w:r>
        <w:rPr>
          <w:b/>
        </w:rPr>
        <w:t>E. 2.1.2</w:t>
      </w:r>
    </w:p>
    <w:p>
      <w:r>
        <w:t>Selon l'art. 31 OPB (RS 814.41),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(al. 1 let. a) ou des mesures de construction ou d’aménagement susceptibles de protéger le bâ­timent contre le bruit (al. 1 let. b). Si les mesures fixées à l’al. 1 ne permettent pas de respecter les valeurs limites d’immission, le permis de construire ne sera délivré qu’avec l’assentiment de l’auto­rité cantonale et pour autant que l’édification du bâtiment présente un intérêt prépondérant (al. 2). L'art. 26 al. 1 de la loi d'application de la loi fédérale sur l'aménagement du territoire du 4 juin 1987 [LaLAT - L 1 30] prévoit en outre que lorsque les circonstances le justifient et s’il n’en résulte pas d’inconvénients graves pour le voisinage, le département peut déroger aux dispositions des articles 18 [répartition du canton] et 19 [zones à bâtir] quant à la nature des constructions.</w:t>
      </w:r>
    </w:p>
    <w:p>
      <w:r>
        <w:t>- 11/13 -</w:t>
      </w:r>
    </w:p>
    <w:p>
      <w:r>
        <w:t>C/9480/2019</w:t>
      </w:r>
    </w:p>
    <w:p>
      <w:r>
        <w:rPr>
          <w:b/>
        </w:rPr>
        <w:t>E. 2.2</w:t>
      </w:r>
    </w:p>
    <w:p>
      <w:r>
        <w:t>En l'espèce, l'appelant soutient que la parcelle est totalement inconstructible ab initio, soit un fait existant au moment des promesses de vente, ce qui constitue l'objet de son erreur et fonde l'invalidation du contrat. Cela étant, la parcelle ayant fait l'objet de la promesse de vente est située en cinquième zone, soit une zone résidentielle destinée aux villas (cf. art. 19 al. 3 LaLAT), et y sont érigés une habitation pour logement et un garage privé. L'Office et le SABRA ont par ailleurs indiqué à l'appelant qu'une autorisation pourrait être délivrée s'il obtenait l’assentiment de l’autorité cantonale au sens de l'art. 31 al. 2 OPB. Le conseil de C______ SA a par ailleurs relevé dans son courrier du 17 août 2017 que plusieurs autorisations de construire avaient été délivrées en application de l'art. 31 al. 2 OPB entre 2014 et 2016 dans le même secteur. Ces différents éléments montrent que la parcelle n'est pas totalement inconstructible. Pour soutenir que la parcelle est inconstructible, l'appelant se prévaut du préavis négatif du SABRA et du fait que l'Office avait pour politique de ne pas s'écarter des préavis de ce service. Cette affirmation est toutefois contredite par les propos du conseil de C______ SA dans son courrier du 17 août 2017 précité, selon lequel des autorisations de construire avaient été délivrée malgré le préavis négatif du SABRA. En outre, le fait que le SABRA ait délivré un préavis négatif sur la base d'un projet qui lui était soumis ne signifie pas encore que la parcelle était absolument inconstructible puisque l'Office a indiqué à l'appelant le 30 août 2017 qu'il demeurait libre de présenter un projet modifié conforme aux dispositions de l’OPB, ce qui permet d'en déduire qu'il tel projet pourrait obtenir, le cas échéant, un préavis favorable du SABRA et une autorisation de construire. Ainsi, même si les possibilités de construction étaient soumises à des contraintes sur la parcelle litigieuse, l'appelant ne peut être suivi lorsqu'il soutient que celle-ci est totalement inconstructible. De plus, même si les règles en matière de construction sont complexes, l'appelant est un professionnel de l'immobilier. Il ne soutient pas qu'il ignorait que la parcelle litigieuse se trouvait à proximité de l'aéroport et il ne pouvait dès lors ignorer les implications éventuelles que cela pouvait avoir sur les contraintes qui en découlent pour obtenir une autorisation de construire. L'intimée pouvait quant à elle attendre de l'appelant qu'il se renseigne sur les possibilités de construction sur la parcelle compte tenu de sa localisation. En tout état de cause, l'appelant avait déjà été rendu attentif à la problématique du bruit pour procéder à une construction sur la parcelle litigieuse lorsque l'acte du 18 juin 2018 a été signé puisque dans son préavis du 5 avril 2017, le SABRA avait constaté que celle-ci était fortement exposée au bruit de l’aéroport et que les valeurs limites d’immiscions étaient dépassées la journée et pendant les premières</w:t>
      </w:r>
    </w:p>
    <w:p>
      <w:r>
        <w:t>- 12/13 -</w:t>
      </w:r>
    </w:p>
    <w:p>
      <w:r>
        <w:t>C/9480/2019 heures de la nuit et que l'appelant devait obtenir l'assentiment de l’autorité compétente, au sens de l’art. 31 al. 2 OPB. L'Office avait en outre rendu une décision de refus de l'autorisation de construire requise le 19 octobre 2017. Par la suite, l'appelant a également envisagé de modifier son projet et d'obtenir une dérogation en application de l'art. 26 al. 1 LaLAT, ce qui tend également à démontrer qu'il connaissait les difficultés liées à la réalisation d'un projet immobilier sur la parcelle. C'est d'ailleurs vraisemblablement en raison de ces contraintes que le prix de vente a été réduit de plus de 20% par rapport au prix de vente initialement convenu. L'appelant connaissait donc la situation de fait et de droit concernant la parcelle faisant l'objet de la promesse de vente lors de sa conclusion le 18 juin 2018. Il ne peut dès lors se prévaloir d'une quelconque erreur. Au vu de ce qui précède, c'est sans violer le droit fédéral que le Tribunal a débouté l'appelant de ses conclusions. Le jugement entrepris sera dès lors confirmé.</w:t>
      </w:r>
    </w:p>
    <w:p>
      <w:r>
        <w:rPr>
          <w:b/>
        </w:rPr>
        <w:t>E. 3</w:t>
      </w:r>
    </w:p>
    <w:p>
      <w:r>
        <w:t>L'appelant, qui succombe, sera condamné aux frais judiciaires d'appel (art. 106 al. 1 CPC), arrêtés à 4'500 fr. (art. 13, 17 et 35 RTFMC) et compensés avec l'avance fournie, qui reste acquise à l'Etat de Genève (art. 111 al. 1 CPC).</w:t>
      </w:r>
    </w:p>
    <w:p>
      <w:r>
        <w:t>L'appelant sera également condamné à verser à l'intimée une somme de 5'000 fr., TVA et débours compris (art. 85 et 90 RTFMC). * * * * *</w:t>
      </w:r>
    </w:p>
    <w:p>
      <w:r>
        <w:t>- 13/13 -</w:t>
      </w:r>
    </w:p>
    <w:p>
      <w:r>
        <w:t>C/9480/2019 PAR CES MOTIFS, La Chambre civile : A la forme : Déclare recevable l'appel interjeté par A______ contre le jugement JTPI/10393/2021 rendu le 17 août 2021 par le Tribunal de première instance dans la cause C/9480/2019. Au fond : Confirme ce jugement. Déboute les parties de toutes autres conclusions. Sur les frais : Arrête les frais judiciaires à 4'500 fr., les met à la charge de A______ et les compense avec l'avance fournie, qui reste acquise à l'Etat de Genève. Condamne A______ à verser 5'000 fr. à B______ SA à titre de dépens d'appel.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