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ACJC/259/2017 vom 10. März 2017</w:t>
      </w:r>
    </w:p>
    <w:p>
      <w:r>
        <w:t>GE Cour de justice, 2017-03-10, FR</w:t>
      </w:r>
    </w:p>
    <w:p>
      <w:r>
        <w:rPr>
          <w:b/>
        </w:rPr>
        <w:t xml:space="preserve">Quelle: </w:t>
      </w:r>
      <w:r>
        <w:t>https://mcp.opencaselaw.ch/entscheid/ge_gerichte_ACJC_259_2017</w:t>
      </w:r>
    </w:p>
    <w:p>
      <w:r>
        <w:t>FR: GE_GERICHTE ACJC/259/2017 du 10 mars 2017</w:t>
      </w:r>
    </w:p>
    <w:p>
      <w:r>
        <w:t>IT: GE_GERICHTE ACJC/259/2017 del 10 marzo 2017</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En l'occurrence, le jugement querellé a été notifié aux parties après le 1er janvier 2011; la présente cause en appel est donc régie par le nouveau droit de procédure.</w:t>
      </w:r>
    </w:p>
    <w:p>
      <w:r>
        <w:t>En revanche, la procédure de première instance est demeurée régie par l'ancien droit de procédure dès lors que la demande a été introduite avant le 1er janvier 2011 (art. 404 al. 1 CPC), soit par l'ancienne Loi genevoise de procédure civile du 10 avril 1987 (ci-après : aLPC) et l'ancien Règlement fixant le tarif des greffes en matière civile (ci-après : aRTG); ceci vaut donc notamment pour les procédures probatoires et les frais et dépens de première instance.</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- 21/37 -</w:t>
      </w:r>
    </w:p>
    <w:p>
      <w:r>
        <w:t>C/5729/2009 En se référant au dernier état des conclusions, l'art. 308 al. 2 CPC vise les conclusions litigieuses devant l'instance précédente, non l'enjeu de l'appel (TAPPY, Les voies de droit du nouveau Code de procédure civile, in JT 2010 III 126).</w:t>
      </w:r>
    </w:p>
    <w:p>
      <w:r>
        <w:rPr>
          <w:b/>
        </w:rPr>
        <w:t>E. 2.2</w:t>
      </w:r>
    </w:p>
    <w:p>
      <w:r>
        <w:t>Dirigée contre une décision finale rejetant une action en nullité de testaments qui comporte, en cas de victoire des appelants, un gain potentiel (BRÜCKNER/WEIBEL, Die erbrechtlichen Klagen, 2006, p. 16, n. 19) supérieur à 10'000 fr. (art. 308 al. 1 let. a et al. 2 CPC), l'appel contre le jugement querellé, motivé et formé par écrit dans un délai de trente jours à compter de la notification de la décision, est recevable (art. 130, 131 et 311 al. 1 CPC).</w:t>
      </w:r>
    </w:p>
    <w:p>
      <w:r>
        <w:rPr>
          <w:b/>
        </w:rPr>
        <w:t>E. 2.3</w:t>
      </w:r>
    </w:p>
    <w:p>
      <w:r>
        <w:t>Les appelants ont produit des pièces nouvelles - dont la recevabilité n'est pas contestée -, aux fins de déterminer la valeur litigieuse de la cause en appel, de sorte qu'elles sont recevables.</w:t>
      </w:r>
    </w:p>
    <w:p>
      <w:r>
        <w:rPr>
          <w:b/>
        </w:rPr>
        <w:t>E. 2.4</w:t>
      </w:r>
    </w:p>
    <w:p>
      <w:r>
        <w:t>Dans le cadre d'un appel, la Cour revoit la cause avec un plein pouvoir d'examen (art. 310 CPC; HOHL, Procédure civile, tome II, 2ème éd., 2010, n. 2314 et 2416).</w:t>
      </w:r>
    </w:p>
    <w:p>
      <w:r>
        <w:rPr>
          <w:b/>
        </w:rPr>
        <w:t>E. 3.1</w:t>
      </w:r>
    </w:p>
    <w:p>
      <w:r>
        <w:t>A teneur de l'art. 334 al. 3 CPC, la décision d'interprétation ou de rectification peut faire l'objet d'un recours.</w:t>
      </w:r>
    </w:p>
    <w:p>
      <w:r>
        <w:rPr>
          <w:b/>
        </w:rPr>
        <w:t>E. 3.2</w:t>
      </w:r>
    </w:p>
    <w:p>
      <w:r>
        <w:t>Déposé dans le délai et la forme prescrits, le recours contre la rectification opérée par le Tribunal est également recevable (art. 130 et 321 al. 1 CPC).</w:t>
      </w:r>
    </w:p>
    <w:p>
      <w:r>
        <w:rPr>
          <w:b/>
        </w:rPr>
        <w:t>E. 3.3</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3.4</w:t>
      </w:r>
    </w:p>
    <w:p>
      <w:r>
        <w:t>Par économie de procédure, l'appel et le recours seront traités dans le même arrêt (art. 125 CPC par analogie).</w:t>
      </w:r>
    </w:p>
    <w:p>
      <w:r>
        <w:rPr>
          <w:b/>
        </w:rPr>
        <w:t>E. 4</w:t>
      </w:r>
    </w:p>
    <w:p>
      <w:r>
        <w:t>Le litige revêt un caractère international, dès lors notamment que la défunte est décédée en France.</w:t>
      </w:r>
    </w:p>
    <w:p>
      <w:r>
        <w:t>La compétence des autorités judiciaires genevoises, admise par jugement du 22 décembre 2009, a été confirmée par arrêt de la Cour de Justice rendu le 17 septembre 2010, de sorte qu'il n'y a pas lieu d'y revenir.</w:t>
      </w:r>
    </w:p>
    <w:p>
      <w:r>
        <w:t>En outre, les parties ne contestent pas l'application du droit suisse (art. 90 al. 1 et 93 al. 1 LDIP; Convention de La Haye du 5 octobre 1961 sur les conflits de lois en matière de forme des dispositions testamentaires) au présent litige.</w:t>
      </w:r>
    </w:p>
    <w:p>
      <w:r>
        <w:t>- 22/37 -</w:t>
      </w:r>
    </w:p>
    <w:p>
      <w:r>
        <w:t>C/5729/2009</w:t>
      </w:r>
    </w:p>
    <w:p>
      <w:r>
        <w:rPr>
          <w:b/>
        </w:rPr>
        <w:t>E. 5</w:t>
      </w:r>
    </w:p>
    <w:p>
      <w:r>
        <w:t>L'art. 16 CC relatif à la capacité de discernement des personnes physiques a été modifié avec le nouveau droit de protection de l'adulte, entré en vigueur le 1er janvier 2013 (RO 2011 725). Jusqu'au 31 décembre 2012, la norme se référait à "la maladie mentale" et à "la faiblesse d'esprit" comme causes entravant la faculté d'une personne d'agir raisonnablement. Dans sa version actuelle, cet article dispose que "toute personne qui n'est pas privée de la faculté d'agir raisonnablement en raison de son jeune âge, de déficience mentale, de troubles psychiques, d'ivresse ou d'autres causes semblables est capable de discernement au sens de la présente loi". La modification de l'art. 16 CC a pour but de supprimer toute connotation stigmatisante (FF 2006 p. 7626). La portée matérielle de la nouvelle disposition est la même que celle de l'art. 16 aCC (MEIER/LUKIC, Introduction au nouveau droit de la protection de l'adulte, 2011, p. 93 no. 204), de sorte que les principes tirés de l'ancienne disposition demeurent applicables.</w:t>
      </w:r>
    </w:p>
    <w:p>
      <w:r>
        <w:rPr>
          <w:b/>
        </w:rPr>
        <w:t>E. 6</w:t>
      </w:r>
    </w:p>
    <w:p>
      <w:r>
        <w:t>novembre 2008, aucun intérêt sur la question de savoir qui hériterait finalement de ses biens.</w:t>
      </w:r>
    </w:p>
    <w:p>
      <w:r>
        <w:t>Au vu de ce qui précède, il sera retenu comme étant établi avec une vraisemblance prépondérante que la de cujus - qui, conformément à la jurisprudence précitée, présentait une altération mentale l'empêchant de soupeser adéquatement les éléments nécessaires à la prise de dispositions pour cause de mort, ainsi qu'une indifférence insolite quant à la dévolution finale de ses biens - ne disposait plus de la capacité de discernement pour tester valablement le 6 novembre 2008.</w:t>
      </w:r>
    </w:p>
    <w:p>
      <w:r>
        <w:t>Partant, le testament de la défunte instrumenté le 6 novembre 2008 par L______ sera annulé.</w:t>
      </w:r>
    </w:p>
    <w:p>
      <w:r>
        <w:rPr>
          <w:b/>
        </w:rPr>
        <w:t>E. 6.1</w:t>
      </w:r>
    </w:p>
    <w:p>
      <w:r>
        <w:t>Seule une personne capable discernement et âgée de 18 ans révolus dispose de la faculté de disposer de ses biens par testament (art. 467 CC). Si tel n'est pas le cas, le testament peut être attaqué par tout héritier ou légataire intéressé (art. 519 al. 1 ch. 1 et al. 2 CC) dans un délai d'un an à compter de la connaissance de la disposition et de la cause de nullité, mais dans les tous cas dix ans après la date de l'ouverture de l'acte (art. 521 al. 1 CC). Selon l'art. 519 al. 1 CC, les dispositions pour cause de mort peuvent être annulées - avec effet ex tunc (ABT, PraxKomm Erbrecht, n. 1 ad art. 519 ZGB; LEUBA, Commentaire romand - CC II, 2016, n. 44 ad art. 467 CC et les réf. citées) - lorsqu'elles sont faites par une personne incapable de disposer au moment de l'acte (ch. 1), lorsqu'elles ne sont pas l'expression d'une volonté libre (ch. 2) ou lorsqu'elles sont illicites ou contraires aux mœurs, soit par elles-mêmes, soit par les conditions dont elles sont grevées.</w:t>
      </w:r>
    </w:p>
    <w:p>
      <w:r>
        <w:t>Le plein exercice des droits civils n'est pas exigé, de sorte que celui qui fait l'objet d'une mesure de protection de l'adulte limitant sa capacité civile peut donc, s'il est capable de discernement, disposer de ses biens par testament, quand bien même il est limité dans sa capacité de disposer de ses biens de son vivant (LEUBA, op. cit., n. 8 ad art. 467 CC et les réf. citées).</w:t>
      </w:r>
    </w:p>
    <w:p>
      <w:r>
        <w:rPr>
          <w:b/>
        </w:rPr>
        <w:t>E. 6.2</w:t>
      </w:r>
    </w:p>
    <w:p>
      <w:r>
        <w:t>Est capable de discernement au sens du droit civil, celui qui a la faculté d'agir raisonnablement. La capacité de discernement comporte deux éléments, un élément intellectuel - la capacité d'apprécier le sens, l'opportunité et les effets d'un acte déterminé - et un élément volontaire ou caractériel -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Il faut que le disposant ait pu se rendre compte de la portée des dispositions précises qu'il a prises au moment où il les a prises. La question à résoudre est de savoir si le testateur n'était pas privé de la faculté d'agir raisonnablement non pas d'une manière toute générale, mais en considération du testament litigieux et au moment où il a été confectionné. On peut, en effet, imaginer qu'une personne dont la capacité de discernement est généralement réduite puisse tout de même exercer certaines tâches quotidiennes et soit capable de discernement pour les actes qui s'y rapportent, et non pour des affaires plus complexes. La rédaction d'un testament compte parmi les actes les plus exigeants, surtout s'il s'agit de dispositions</w:t>
      </w:r>
    </w:p>
    <w:p>
      <w:r>
        <w:t>- 24/37 -</w:t>
      </w:r>
    </w:p>
    <w:p>
      <w:r>
        <w:t>C/5729/2009 compliquées (ATF 134 II 235 consid. 4.3.2; ATF 124 III 5 consid. 1a, in JT 1998 I p. 361; ATF 117 II 231 consid. 2a; arrêt du Tribunal fédéral 5A_501/2013 du 13 janvier 2014 consid. 6.1.1.). L'élément intellectuel exige notamment que le testateur ait conscience de la nature des liens qu'il entretient avec ses proches et qu'il puisse en évaluer l'importance pour lui. L'évaluation du discernement ne permet pas de revoir le caractère socialement acceptable des motifs de la décision. Seuls un trouble psychique ou éventuellement une déficience mentale peuvent être pris en considération, lorsqu'ils empêchent le de cujus de soupeser adéquatement les éléments nécessaires à la prise de décision. Le second élément inclut la capacité à résister à des pressions raisonnables résultant d'une situation donnée ou provenant de tiers (LEUBA, op. cit., n. 10ss ad art. 467 CC et les réf. citées).</w:t>
      </w:r>
    </w:p>
    <w:p>
      <w:r>
        <w:rPr>
          <w:b/>
        </w:rPr>
        <w:t>E. 6.3</w:t>
      </w:r>
    </w:p>
    <w:p>
      <w:r>
        <w:t>La capacité de discernement est la règle.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 Toute atteinte à la santé mentale ne permet pas de présumer l'incapacité de discernement. Celle-ci n'est présumée que dans le cas où le disposant se trouvait, au moment où il a rédigé les dispositions en cause, dans un état durable et d'importante dégradation des facultés de l'esprit liée à la maladie ou l'âge, comme il est notoire chez les personnes souffrant de démence sénile. Elle n'est, en revanche,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mémoires liés à</w:t>
      </w:r>
    </w:p>
    <w:p>
      <w:r>
        <w:t>- 25/37 -</w:t>
      </w:r>
    </w:p>
    <w:p>
      <w:r>
        <w:t>C/5729/2009 l'âge (arrêts du Tribunal fédéral 5A_501/2013 du 13 janvier 2014 consid. 6.1.2. et 5A_12/2009 du 25 mars 2009 consid. 2.2). Selon les principes jurisprudentiels qui demeurent applicables (cf. supra consid. 5 in fine), sont notamment visés par l'art. 16 CC les troubles psychiques durables et caractérisés qui ont sur le comportement des conséquences évidentes, qualitativement et profondément déconcertantes pour un profane averti (arrêt du Tribunal fédéral 4A_194/2009 consid. 5.1.1, in RSPC 2009 p. 368; ATF 117 II 231 consid. 2b). Il existe cependant des maladies mentales qui ne se manifestent pas de manière aigüe et qui consistent en une diminution générale des facultés de l'esprit; ces maladies ne sont pas décelables pour une personne non avertie, si bien que ce n'est souvent qu'à l'aide d'une expertise qu'on peut les mettre en lumière avec leurs symptômes (ATF 124 III 5 consid. 1b, in JT 1998 I p. 361). De manière générale, la constatation d'anomalies psychiques est difficile pour les personnes non qualifiées en psychiatrie (SCHRÖDER, PraxKomm Erbrecht, 2011, n. 38 zu art. 467 ZGB). D'autres moyens probatoires peuvent en revanche être tenus pour suffisants, s'ils permettent de déterminer l'état mental de la personne décédée, au moment de la confection de l'acte, avec une vraisemblance confinant à la certitude (ATF 117 II 231 consid. 2b). A cet égard, on ne peut, en général, pas tirer de conclusions générales sur la capacité de discernement d'une personne à partir du simple contenu d'un acte ou de ses effets juridiques (arrêt du Tribunal fédéral 5C.282/2006 consid. 3.3.3, commenté in WOLF/BALMER/WILD, Erbrecht 07, njus 2007, p. 17 ss, p. 24). On ne recherche, en effet, pas à savoir si le disposant a agi de manière raisonnable, juste et équitable; tout au plus, une disposition absurde constitue-t-elle un indice du défaut de discernement (ATF 124 III 5 consid. 4c/cc, in JT 1998 I 361; ATF 117 II 231 consid. 2a; arrêt du Tribunal fédéral 5A_501/2013 du 13 janvier 2014 consid. 6.1.1.). La trop grande influençabilité du de cujus est difficile à rapporter une fois l'intéressé décédé. Une modification surprenante et inattendue des volontés du défunt, qui altère une solution soigneusement élaborée et maintenue durant de nombreuses années, peut, selon les circonstances, constituer un indice probant (LEUBA, op. cit., n. 42 ad art. 467 CC et les réf. citées).</w:t>
      </w:r>
    </w:p>
    <w:p>
      <w:r>
        <w:rPr>
          <w:b/>
        </w:rPr>
        <w:t>E. 6.4</w:t>
      </w:r>
    </w:p>
    <w:p>
      <w:r>
        <w:t>Le législateur a refusé d'admettre l'expertise privée en tant que moyen de preuve au sens de l'art. 168 al. 1 CPC (ATF 141 III 4333 consid. 2.5). Une expertise privée établie pour l'une ou l'autre des parties ne constitue pas un moyen de preuve dans un éventuel procès, mais n'a que la valeur d'une simple allégation de la partie qui la produit (ATF 141 III 433 consid. 2.6; 140 III 24 consid. 3.3.3; 140 III 16 consid. 2.5; 139 III 305 consid. 5.2.5; 135 III 670 consid. 3.3.1; 132 III 83 consid. 3.4). Le fait qu'une expertise privée n'ait pas la même valeur qu'une expertise judiciaire ne signifie toutefois pas encore que toute référence à une</w:t>
      </w:r>
    </w:p>
    <w:p>
      <w:r>
        <w:t>- 26/37 -</w:t>
      </w:r>
    </w:p>
    <w:p>
      <w:r>
        <w:t>C/5729/2009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faits précis de son rapport (arrêts du Tribunal fédéral 4D_71/2013 du 26 février 2014 consid. 2.5 et 4A_58/2008 du 28 avril 2008 consid. 5.3).</w:t>
      </w:r>
    </w:p>
    <w:p>
      <w:r>
        <w:rPr>
          <w:b/>
        </w:rPr>
        <w:t>E. 6.5</w:t>
      </w:r>
    </w:p>
    <w:p>
      <w:r>
        <w:t>En l'espèce, les parties s'accordent à dire que la défunte a été capable de discernement jusqu'en automne 2007, ce qui n'est pas contredit par les éléments du dossier.</w:t>
      </w:r>
    </w:p>
    <w:p>
      <w:r>
        <w:t>Est in casu déterminante la question de savoir si la testatrice disposait encore de sa capacité de discernement au moment de la rédaction de ses deux dernières dispositions pour cause de mort les 3 juillet et 6 novembre 2008.</w:t>
      </w:r>
    </w:p>
    <w:p>
      <w:r>
        <w:rPr>
          <w:b/>
        </w:rPr>
        <w:t>E. 6.5.1</w:t>
      </w:r>
    </w:p>
    <w:p>
      <w:r>
        <w:t>Il convient d'examiner, en premier lieu, la capacité de la de cujus à la date du 6 novembre 2008, puisque, conformément à l'art. 511 al. 1 CC, les dispositions postérieures, qui ne révoquent pas expressément les précédentes, les remplacent dans la mesure où elles n'en constituent pas indubitablement des clauses complémentaires.</w:t>
      </w:r>
    </w:p>
    <w:p>
      <w:r>
        <w:t>Or, à cette date, le notaire L______ a jugé intacte la capacité de discernement de la testatrice pour exprimer ses volontés. Il l'avait, certes, trouvée fatiguée, mais avait constaté qu'elle avait l'œil vif, l'avait reconnu et lui avait parlé de manière claire et énergique de ce qu'elle souhaitait faire.</w:t>
      </w:r>
    </w:p>
    <w:p>
      <w:r>
        <w:t>La tutrice KK______, présente lors de l'instrumentation, a également déclaré que, selon elle, sa pupille était capable de discernement tant à cette date que durant tout son mandat, aussi bien au niveau intellectuel qu'au niveau de la volonté, et qu'elle souhaitait vraiment annuler les pactes successoraux.</w:t>
      </w:r>
    </w:p>
    <w:p>
      <w:r>
        <w:t>S'il s'agit indéniablement de témoignages émanant de personnes dont on ne saurait remettre en question la fiabilité et l'expérience, ils ne sont néanmoins pas déterminants à eux seuls et il convient de tenir compte d'autres éléments contextuels importants.</w:t>
      </w:r>
    </w:p>
    <w:p>
      <w:r>
        <w:t>Il ressort, en effet, de l'entretien que KK______ a eu le 5 septembre 2008 avec la défunte qu'à cette date, cette dernière ne se souvenait d'aucune des démarches effectuées par A______ que lui citait sa tutrice, qu'il s'agisse d'évènements remontant à quelques mois ou d'évènements plus anciens, comme le fait qu'elle était locataire d'un appartement à la 1______ ou le transfert du bail de cet appartement par contrat de fiducie de 2004, et que celle-ci se rendait elle-même compte qu'elle "oubliait tout" et que son témoignage de ce fait "ne valait que moitié". Il en a été de même, quelques jours plus tard, lorsque la tutrice lui a parlé</w:t>
      </w:r>
    </w:p>
    <w:p>
      <w:r>
        <w:t>- 27/37 -</w:t>
      </w:r>
    </w:p>
    <w:p>
      <w:r>
        <w:t>C/5729/2009 des pactes successoraux; sa pupille n'avait plus aucun souvenir tant de leur existence que de certaines personnes y figurant, et elle s'était alors sentie en colère et révoltée, ayant l'impression qu'on l'avait manipulée.</w:t>
      </w:r>
    </w:p>
    <w:p>
      <w:r>
        <w:t>Ainsi, à tout le moins à partir de septembre 2008, bien que la défunte paraissait encore alerte et vive d'esprit, elle présentait un trouble important de la mémoire, qui avait pour conséquence qu'elle ne se souvenait objectivement plus d'aucune des démarches effectuées par A______ et de documents qu'elle avait signés qu'on lui évoquait, indépendamment de la question subjective de savoir si elle avait compris leur portée ou non. Il en est résulté qu'elle s'était sentie profondément flouée par la gestion de ses biens et de sa vie par sa conseillère.</w:t>
      </w:r>
    </w:p>
    <w:p>
      <w:r>
        <w:t>Il apparaît, dès lors, qu'au moment de signer le testament authentique du</w:t>
      </w:r>
    </w:p>
    <w:p>
      <w:r>
        <w:rPr>
          <w:b/>
        </w:rPr>
        <w:t>E. 6.5.2</w:t>
      </w:r>
    </w:p>
    <w:p>
      <w:r>
        <w:t>Il convient, en conséquence, d'examiner la capacité de discernement de la de cujus à la date du 3 juillet 2008.</w:t>
      </w:r>
    </w:p>
    <w:p>
      <w:r>
        <w:t>En octobre 2007, le médecin O______, qui visitait sa patiente quotidiennement, a établi une attestation médicale selon laquelle celle-ci présentait des alternances de conscience, des troubles de la mémoire et parfois des moments de confusion. En janvier 2008, la défunte a émis des instructions bancaires, notamment à l'attention de la banque W______. Pour LL______, ce document - pourtant rédigé de la main de la cliente - était impersonnel et ne correspondait pas à leurs relations</w:t>
      </w:r>
    </w:p>
    <w:p>
      <w:r>
        <w:t>- 28/37 -</w:t>
      </w:r>
    </w:p>
    <w:p>
      <w:r>
        <w:t>C/5729/2009 établies depuis de nombreuses années. Son collaborateur, MM______, qui s'était téléphoniquement entretenu avec elle, a indiqué sur son compte-rendu interne qu'il s'agissait alors d'une "personne âgée n'ayant visiblement pas toutes ses facultés". Le psychiatre II______, qui a rencontré la défunte le 24 mai 2008, a déclaré devant le Tribunal que celle-ci présentait un trouble massif de l'orientation et de la mémoire, qui ne lui avait pas semblé ponctuel ou susceptible d'amélioration. La de cujus a rédigé une demande manuscrite de mise sous tutelle le 13 mai 2008, sollicitant la nomination de A______ en qualité de tutrice. Au début du mois de juin, le témoin JJ______ a affirmé que la défunte était contente des démarches entreprises en vue de la mettre sous tutelle. Le 24 juin 2008, cette dernière a signé une procuration en faveur de BB______, avocat, pour contester cette demande, puis a réfuté avoir confié des pouvoirs à son ami avocat et à l'intimé deux jours plus tard. Selon l'intimé lui-même, la défunte ne se rappelait plus, au mois de juin 2008, avoir rédigé une demande de mise sous tutelle et avait été choquée d'apprendre le prononcé de cette mesure de protection, se sentant avoir été bernée par A______; elle ne se rappelait plus non plus bien, voire plus du tout, de ses dispositions testamentaires antérieures. Tant selon l'intimé que KK______, la défunte se trouvait dans un état de faiblesse physique important au début du mois de juillet 2008. La tutrice a précisé que les mesures qu'elle avait prises pour remettre sa pupille en condition physique avaient amélioré toutes ses autres capacités, ce dont on peut déduire que, selon elle, l'état global de sa protégée était moins bon lorsqu'elle l'avait rencontrée le 8 juillet 2008 que lorsqu'elle l'avait revue à la fin de ce mois.</w:t>
      </w:r>
    </w:p>
    <w:p>
      <w:r>
        <w:t>Il ressort ainsi de ce qui précède qu'il existe un faisceau d'indices (attestations et avis médicaux, multiplication de comportements et documents contradictoires, mémoire défaillante et grande faiblesse physique) permettant de retenir que la de cujus souffrait d'un trouble important de la mémoire déjà, à tout le moins, depuis le mois de juin 2008. Par ailleurs, celle-ci n'a pas non plus désigné d'héritier dans ses dispositions testamentaires du 3 juillet 2008, se contentant de révoquer toutes les dispositions pour cause de mort antérieures que sa conseillère lui aurait fait signer. On peut difficilement suivre l'intimé lorsqu'il allègue que son amie - qui, selon ses propres dires, ne se rappelait plus bien, voire plus du tout, de ses dispositions testamentaires antérieures - se rappelait en revanche parfaitement du testament instrumenté le 14 mars 2003 par le notaire M______, dont elle aurait été assurée de la reviviscence par ses dispositions du 3 juillet 2008.</w:t>
      </w:r>
    </w:p>
    <w:p>
      <w:r>
        <w:t>- 29/37 -</w:t>
      </w:r>
    </w:p>
    <w:p>
      <w:r>
        <w:t>C/5729/2009 Au vu de ces éléments, il convient de retenir comme étant établi avec une vraisemblance prépondérante que la de cujus présentait aussi, en date du 3 juillet 2008, une altération mentale l'empêchant de soupeser adéquatement les éléments nécessaires à la prise de dispositions pour cause de mort, ainsi qu'une indifférence insolite quant à la dévolution finale de ses biens, et qu'elle ne disposait ainsi pas de la capacité de discernement pour tester valablement à cette date. Partant, le testament olographe établi le 3 juillet 2008 par la défunte doit être également annulé.</w:t>
      </w:r>
    </w:p>
    <w:p>
      <w:r>
        <w:rPr>
          <w:b/>
        </w:rPr>
        <w:t>E. 7</w:t>
      </w:r>
    </w:p>
    <w:p>
      <w:r>
        <w:t>Se pose, dès lors, la question de la validité des pactes successoraux instrumentés le 24 avril 2006 et le 13 mars 2007 par le notaire EE______. Selon l'intimé, la défunte n'a pas réalisé dans son entier les détails juridiques et les conséquences de la signature des pactes successoraux, se laissant aller en toute confiance à suivre les directives de A______, qui avait eu une influence possessive et déterminante sur sa volonté. Elle aurait été victime d'une erreur manifeste, résultant de la manipulation de sa volonté par sa dame de confiance, et se serait engagée de manière excessive, en aliénant sa liberté de tester, ce qu'elle ne voulait pas. Par ailleurs, le fait qu'il n'y ait pas de contre-prestation à ces pactes indique qu'ils sont viciés et nuls. Les appelants soutiennent, pour leur part, qu'aucune exception au principe de l'irrévocabilité des pactes successoraux n'est réalisée.</w:t>
      </w:r>
    </w:p>
    <w:p>
      <w:r>
        <w:rPr>
          <w:b/>
        </w:rPr>
        <w:t>E. 7.1</w:t>
      </w:r>
    </w:p>
    <w:p>
      <w:r>
        <w:t>Le disposant peut s'obliger, dans un pacte successoral, à laisser sa succession ou un legs à l'autre partie contractante ou à un tiers (art. 494 al. 1 CC; pacte d'attribution). Les pactes successoraux ont un caractère onéreux lorsqu'ils prévoient une contre- prestation, entre vifs ou pour cause de mort; ils sont, en revanche, gratuits lorsque le seul disposant s'oblige. Le de cujus ne peut pas se lier sur certaines dispositions considérées comme impérativement unilatérales, comme par exemple la nomination d'un exécuteur testamentaire, l'exhérédation, la révocation d'une disposition de dernière volonté ou la reconnaissance de paternité. L'acte rédigé en la forme d'un pacte successoral peut ainsi contenir, à côté des dispositions contractuelles qui lient les deux parties, des clauses unilatérales, testamentaires, librement révocables. Institution de nature contractuelle, le pacte successoral ne peut en principe être révoqué unilatéralement par le de cujus, sous réserve des clauses unilatérales contenues dans le pacte (ABBET, Commentaire romand - CC II, n. 4, 5, 22 et 29 ad intro art. 494-497 CC et les réf. citées). Une clause est bilatérale lorsque le cocontractant a un intérêt, ce qui est toujours le cas quand il s'agit de dispositions en faveur du cocontractant (ATF 133 III 406 consid. 2.3, in JT 2007 I 364).</w:t>
      </w:r>
    </w:p>
    <w:p>
      <w:r>
        <w:t>- 30/37 -</w:t>
      </w:r>
    </w:p>
    <w:p>
      <w:r>
        <w:t>C/5729/2009 Ni la loi ni la doctrine majoritaire ne soumettent la validité d'un pacte successoral à la condition que le disposant reçoive d'une manière ou d'une autre une contre- prestation, car il n'est pas toujours facile de déterminer les motifs que peut avoir le de cujus de conclure le pacte, même si aucune contre-prestation n'y figure (avis de droit de VV______, no 3 à 5, p. 4 et 5) Il convient, ainsi, d'examiner les exceptions pertinentes qui seraient susceptibles de conduire à la révocation des pactes successoraux.</w:t>
      </w:r>
    </w:p>
    <w:p>
      <w:r>
        <w:rPr>
          <w:b/>
        </w:rPr>
        <w:t>E. 7.2.1</w:t>
      </w:r>
    </w:p>
    <w:p>
      <w:r>
        <w:t>Un cas d'illicéité ou d'immoralité peut se présenter en cas de pacte gratuit lorsque, au vu de l'ensemble des circonstances, l'absence de contre-prestation fait apparaître l'engagement du disposant comme excessif au sens de l'art. 27 al. 2 CC (STEINAUER, Les parties au pacte successoral, in Journées de droit successoral 2015, Berne, no 168s). La protection de l'art. 27 al. 2 CC étant de nature strictement personnelle et intransmissible, elle doit être invoquée par la personne concernée elle-même, qui doit avoir la possibilité de s'en tenir à l'engagement pris, même excessif, si elle le souhaite (ATF 129 II 209 consid. 2.2, in JT 2003 I 623).</w:t>
      </w:r>
    </w:p>
    <w:p>
      <w:r>
        <w:rPr>
          <w:b/>
        </w:rPr>
        <w:t>E. 7.2.2</w:t>
      </w:r>
    </w:p>
    <w:p>
      <w:r>
        <w:t>En l'espèce, la disposante a exprimé au notaire EE______, en s'engageant dans le cadre d'un pacte successoral, le souhait de ne plus pouvoir révoquer ses dispositions testamentaires au cas où elle tomberait en faiblesse, afin d'éviter précisément ce qui est arrivé durant les derniers mois de sa vie. Compte tenu des nombreuses dispositions pour cause de mort qu'elle avait jusque-là rédigées et des sollicitations de toutes sortes dont elle faisait l'objet, la volonté de la défunte, alors âgée de 92 ans, de s'engager au moyen d'un pacte successoral et de fixer, à tout le moins dans une certaine mesure, ses volontés successorales n'apparaît pas incongrue et d'emblée contraire à l'art. 27 al. 2 CC. En tout état, il ressort des considérants qui précèdent qu'il ne peut être tenu compte des testaments de la défunte établis les 3 juillet et 6 novembre 2008, lesquels doivent être annulés, étant de surcroît relevé que le motif pour lequel elle y révoquait les pactes successoraux n'était pas un engagement excessif au sens de l'art. 27 al. 2 CC. La défunte n'a donc pas invoqué la protection de l'art. 27 al. 2 CC.</w:t>
      </w:r>
    </w:p>
    <w:p>
      <w:r>
        <w:rPr>
          <w:b/>
        </w:rPr>
        <w:t>E. 7.3.1</w:t>
      </w:r>
    </w:p>
    <w:p>
      <w:r>
        <w:t>Le disposant peut annuler de son chef l'institution d'héritier ou le legs, lorsque après la conclusion du pacte l'héritier ou le légataire se rend coupable envers lui d'un acte qui serait une cause d'exhérédation (art. 513 al.2 CC), à savoir</w:t>
      </w:r>
    </w:p>
    <w:p>
      <w:r>
        <w:t>- 31/37 -</w:t>
      </w:r>
    </w:p>
    <w:p>
      <w:r>
        <w:t>C/5729/2009 lorsqu'il a commis une infraction pénale grave ou lorsqu'il a gravement failli aux devoirs que la loi lui impose (art. 477 ch. 1 et 2 CC). La révocation doit revêtir l'une des formes prescrites pour les testaments (art. 513 al. 3 CC).</w:t>
      </w:r>
    </w:p>
    <w:p>
      <w:r>
        <w:rPr>
          <w:b/>
        </w:rPr>
        <w:t>E. 7.3.2</w:t>
      </w:r>
    </w:p>
    <w:p>
      <w:r>
        <w:t>In casu, la question débattue entre les parties de savoir si des bénéficiaires des pactes auraient commis des actes qui seraient une cause d'exhérédation demeurera ouverte, puisque, compte tenu de l'annulation des testaments des 3 juillet et 6 novembre 2008, la défunte n'a pas valablement exprimé de volonté de révoquer les pactes.</w:t>
      </w:r>
    </w:p>
    <w:p>
      <w:r>
        <w:rPr>
          <w:b/>
        </w:rPr>
        <w:t>E. 7.4.1</w:t>
      </w:r>
    </w:p>
    <w:p>
      <w:r>
        <w:t>Selon l'art. 469 CC, sont nulles toutes dispositions que leur auteur a faites sous l'empire d'une erreur, d'un dol, d'une menace ou d'une violence (al. 1); elles sont toutefois maintenues, s'il ne les a pas révoquées dans l'année après qu'il a découvert le dol ou l'erreur, ou après qu'il a cessé d'être sous l'empire de la menace ou de la violence (al. 2). L'art. 469 CC est applicable aux clauses bilatérales des pactes successoraux prévoyant une prestation à la charge du disposant (LEUBA, op. cit., n. 33 et 34 ad art. 469 CC et les réf. citées). L'erreur doit être causale, c'est-à-dire avoir eu une influence déterminante, même en relation avec d'autres facteurs, sur la disposition pour cause de mort adoptée par le disposant. Il faut qu'il paraisse vraisemblable que ce dernier, s'il avait eu connaissance de son erreur, aurait préféré la suppression de la disposition litigieuse plutôt que son maintien. Il n'est pas exigé que l'erreur soit objectivement importante; il suffit qu'elle ait eu un impact décisif dans le processus décisionnel. Il y a erreur dans la déclaration lorsque le disposant, sans le vouloir, déclare autre chose que ce qu'il veut vraiment. Il y a erreur sur les motifs lorsque la formation de la volonté est affectée d'un vice; la volonté du de cujus repose sur une fausse représentation de la réalité. Elle peut porter sur un évènement passé, présent ou futur. L'erreur sur les motifs doit être admise de manière restrictive lorsqu'elle affecte les dispositions bilatérales d'un pacte successoral; cette erreur ne pourra être admise que si elle a pour objet un fait que le cocontractant pouvait, de bonne foi, considérer comme un élément nécessaire du pacte successoral. Le dol est le fait d'induire le disposant en erreur ou d'exploiter l'erreur dans laquelle il se trouve dans le but de l'inciter à disposer pour cause de mort. Il faut que la tromperie soit intentionnelle, un dol éventuel étant cependant suffisant. Il importe peu que le dol soit le fait du bénéficiaire de la libéralité. La menace et la violence correspondent à la notion de crainte de l'art. 29 CO. La menace doit porter sur un danger grave et imminent pour le de cujus ou l'un de ses proches. Il y a menace lorsqu'une personne, par son comportement, suscite chez le de cujus la crainte d'un mal qui le frapperait au cas où il ne se conformerait pas à sa volonté. La loi vise à protéger la</w:t>
      </w:r>
    </w:p>
    <w:p>
      <w:r>
        <w:t>- 32/37 -</w:t>
      </w:r>
    </w:p>
    <w:p>
      <w:r>
        <w:t>C/5729/2009 liberté du de cujus de disposer pour cause de mort; il convient dès lors d'être attentif à toute forme de pressions exercées sur le disposant. La violence ne comprend que la force psychique exercée sur le disposant, non celle physique qui exclut tout animus testandi. Comme pour tout vice de consentement, la crainte doit avoir joué un rôle causal dans l'adoption de la disposition pour cause de mort, apprécié de manière subjective, c'est-à-dire du point de vue du défunt (LEUBA, op. cit., n. 12, 17, 18, 19, 22, 25, 26, 28, 31, 37, 40 et 42 ad art. 469 CC et les réf. citées).</w:t>
      </w:r>
    </w:p>
    <w:p>
      <w:r>
        <w:rPr>
          <w:b/>
        </w:rPr>
        <w:t>E. 7.4.2</w:t>
      </w:r>
    </w:p>
    <w:p>
      <w:r>
        <w:t>En l'espèce, pour les motifs ci-après, l'on ne peut suivre le Tribunal lorsqu'il retient que la confiance de la défunte, alors amoindrie, a été trompée par A______ à plusieurs égards et qu'un certain nombre de faits étaient constitutifs de tromperie ou pour le moins d'erreur, déjà au moment de l'instrumentation du premier pacte, lequel a été signé sous influence de la conseillère.</w:t>
      </w:r>
    </w:p>
    <w:p>
      <w:r>
        <w:rPr>
          <w:b/>
        </w:rPr>
        <w:t>E. 7.4.2.1</w:t>
      </w:r>
    </w:p>
    <w:p>
      <w:r>
        <w:t>En effet, rien ne permet de retenir que la domiciliation fiscale de la défunte au siège de T______SA et le transfert du bail de son appartement au nom de cette société, fondés sur un contrat de fiducie établi le 7 avril 2004, ne correspondaient pas à la volonté de K______. La raison invoquée de la simplification de la relève du courrier, en particulier fiscal, par la fiduciaire, lorsque la cliente séjournait pendant de longues périodes à l'étranger, n'apparaît pas absurde. On voit, de surcroît, mal quel intérêt, néfaste à la cliente, la fiduciaire aurait pu en tirer. S'agissant du transfert de bail, ce procédé, qui, selon les appelants permettait de limiter les risques que la cliente soit considérée comme domiciliée à Genève, n'apparaît pas non plus insolite, l'existence d'une société off- shore non déclarée - et dont il n'est pas allégué que la défunte n'aurait pas eu connaissance - tendant à démontrer qu'elle poursuivait, ou à tout le moins approuvait, des démarches d'"optimisation fiscale". De plus, il paraît peu plausible que cette démarche ait eu pour but l'usurpation de tout ou partie du contenu de son appartement, qui était connu notamment par les frères D______ et E______, l'intimé, le personnel de maison, voire des marchands d'art qui rendaient visite à la défunte. Selon la tutrice, des tableaux n'auraient pas été retrouvés, ce qui est contesté par les appelants. On ne saurait, quoi qu'il en soit, en attribuer sans autre élément la responsabilité à A______. La défunte a en effet admis, lors de son entretien avec sa tutrice en septembre 2008, qu'il lui arrivait de vendre des tableaux pour faire des donations à des œuvres caritatives. De même, rien ne permet de retenir que les avances de legs à la gouvernante et au cuisinier - auxquels A______ aurait procédé afin d'assurer les services de ces personnes pour commettre ses prétendues exactions selon l'intimé - n'ont pas été le fruit de la volonté de la de cujus de remercier les personnes qui l'entouraient</w:t>
      </w:r>
    </w:p>
    <w:p>
      <w:r>
        <w:t>- 33/37 -</w:t>
      </w:r>
    </w:p>
    <w:p>
      <w:r>
        <w:t>C/5729/2009 quotidiennement, étant de surcroît relevé qu'un legs en faveur de la gouvernante était déjà prévu en 2001. S'agissant des bijoux et liquidités conservés dans un coffre au nom de A______, S______ et JJ______, ces deux derniers, ainsi que OO______ avaient connaissance de l'existence et du contenu de ce coffre. Les frères D______ ET E______ avaient également été informés par leur marraine que sa conseillère détenait une somme importante qui devait leur être remise à son décès. Or, il paraît peu probable que cette dernière ait mis dans la confidence son associé et ses collaboratrices - dont rien ne permet de mettre en doute l'honnêteté - si, comme le prétend l'intimé, elle avait projeté de s'approprier ces biens. Par ailleurs, le fait que la conseillère ait fait expertiser des bijoux sans en indiquer la provenance peut être considéré comme une simple mesure de discrétion et de protection. Il sera également relevé que A______ a refusé la donation des bijoux restés à Genève faite en sa faveur par sa mandante. Pour ce qui est de l'argenterie de la défunte, si sa mise dans des cartons, alors que sa propriétaire était encore en vie, peut paraître indélicate, cela ne démontre pas pour autant une intention de A______ de se l'approprier. S'agissant des démarches effectuées par A______, dont ne se souvenait plus la défunte, il ressort des considérants qui précèdent (cf. supra consid. 6.5.1) que la vision de cette dernière de ce qui s'était vraiment passé était faussée par son important trouble de la mémoire durant les derniers mois de sa vie. En ce qui concerne, enfin, les soins prodigués à la de cujus jusqu'à la nomination de KK______ comme tutrice et l'état dans lequel celle-ci l'a trouvée au début du mois de juillet 2008, il sera relevé que, bien que l'intimé ait allégué avoir trouvé son amie dans un état négligé à son arrivée en avril 2008, il n'a émis aucune alerte ou entrepris aucune démarche pour améliorer les soins qui lui étaient prodigués. De son côté, le Dr II______ avait trouvé celle-ci soignée et la maison bien tenue lors de sa venue le 24 mai 2008. A______, qui n'était pas sur place, avait pour sa part organisé la présence à 2______ d'une gouvernante, d'une femme de ménage et d'un cuisinier et le passage quotidien de son médecin traitant et d'une infirmière, de sorte qu'elle était fondée à considérer que K______ recevait tous les soins nécessaires et adéquats.</w:t>
      </w:r>
    </w:p>
    <w:p>
      <w:r>
        <w:rPr>
          <w:b/>
        </w:rPr>
        <w:t>E. 7.4.2.2</w:t>
      </w:r>
    </w:p>
    <w:p>
      <w:r>
        <w:t>En ce qui concerne les pactes successoraux en tant que tel, le fait que le notaire EE______ ait eu des contacts seulement avec A______ avant leur signature n'est pas particulièrement suspect, dans la mesure où cette dernière se chargeait, d'une manière générale, d'effectuer les démarches instruites par sa mandante. Le contenu de ces actes n'apparaît pas non plus insolite, mais est au contraire dans la lignée des dispositions pour cause de mort prises antérieurement par la disposante. Tant le notaire que l'ancienne directrice de H______ ont déclaré</w:t>
      </w:r>
    </w:p>
    <w:p>
      <w:r>
        <w:t>- 34/37 -</w:t>
      </w:r>
    </w:p>
    <w:p>
      <w:r>
        <w:t>C/5729/2009 que le premier pacte successoral avait été expliqué longuement à la disposante et que les dispositions prises correspondaient à ses vœux. Selon eux, ainsi que selon les témoins GG______ et R______, la de cujus en était contente. Contrairement à ce que soutient l'intimé, rien ne permet de retenir que K______ n'avait pas vraiment compris le contenu ou la portée des pactes successoraux qu'elle a signés ou encore qu'elle se trouvait dans un état d'influence tel que sa volonté était viciée à ce moment-là.</w:t>
      </w:r>
    </w:p>
    <w:p>
      <w:r>
        <w:rPr>
          <w:b/>
        </w:rPr>
        <w:t>E. 7.5</w:t>
      </w:r>
    </w:p>
    <w:p>
      <w:r>
        <w:t>Au vu de ce qui précède, il sera retenu qu'il n'est pas établi que les pactes successoraux ont été conclus sous l'empire d'une erreur, d'un dol, d'une menace ou d'une violence au sens de l'art. 469 CC. Il sera, par conséquent, constaté que les pactes successoraux des 24 avril 2006 et 13 mars 2007 sont valables et déploient tous leurs effets.</w:t>
      </w:r>
    </w:p>
    <w:p>
      <w:r>
        <w:rPr>
          <w:b/>
        </w:rPr>
        <w:t>E. 8</w:t>
      </w:r>
    </w:p>
    <w:p>
      <w:r>
        <w:t>Partant, le jugement entrepris sera annulé et il sera statué dans le sens de ce qui précède.</w:t>
      </w:r>
    </w:p>
    <w:p>
      <w:r>
        <w:rPr>
          <w:b/>
        </w:rPr>
        <w:t>E. 9</w:t>
      </w:r>
    </w:p>
    <w:p>
      <w:r>
        <w:t>Si l’instance d’appel statue à nouveau, elle se prononce sur les frais de la première instance (art. 318 al. 3 CPC). Cette question s'examine selon l'ancien droit de procédure applicable (aLPC), puisque la procédure en première instance a été régie par celui-ci jusqu'à la clôture de l'instance (art. 404 al. 1 CPC). Tout jugement doit condamner aux dépens la partie qui succombe (art. 176 al. 1 aLPC). Les dépens comprennent les frais exposés dans la cause et une indemnité de procédure (art. 181 al. 1 aLPC). Les frais exposés comprennent notamment les émoluments du greffe et l'indemnité des témoins et experts (art. 181 al. 2 lit. b) et c) aLPC). L'indemnité de procédure est fixée en équité par le juge, en tenant compte notamment de l'importance de la cause, de ses difficultés et de l'ampleur de la procédure (art. 181 al. 3 aLPC). L'émolument de mise au rôle - dont les appelants se sont acquittés en première instance - s'est élevé à 1'066 fr. Compte tenu de l'ampleur prise par la procédure, de la complexité de la cause et des intérêts en jeu, il convient de fixer un émolument complémentaire de 100'000 fr. (art. 3 al. 1 et 2, 24 et 25 al. 1 aRTG). Les sûretés du même montant versées en première instance par les appelants pour en garantir le paiement resteront acquises à l'Etat. A l'issue de la procédure, l'intimé, qui succombe intégralement, sera condamné aux dépens de première instance en 161'066 fr. (art. 176 al. 1 aLPC), lesquels comprennent une indemnité de procédure de 60'000 fr. à titre de participation aux honoraires de l'avocat des appelants (art. 181 al. 3 aLPC), sous déduction de la</w:t>
      </w:r>
    </w:p>
    <w:p>
      <w:r>
        <w:t>- 35/37 -</w:t>
      </w:r>
    </w:p>
    <w:p>
      <w:r>
        <w:t>C/5729/2009 part supportée par I______ à hauteur de 1/9ème des dépens de première instance arrêtés par le jugement rectifié. Le montant ci-dessus de 60'000 fr., qui tient également compte des intérêts en jeu, de la complexité de la cause, de son importance et des nombreuses mesures d'instruction, n'a pas été contesté devant la Cour par les parties.</w:t>
      </w:r>
    </w:p>
    <w:p>
      <w:r>
        <w:rPr>
          <w:b/>
        </w:rPr>
        <w:t>E. 10</w:t>
      </w:r>
    </w:p>
    <w:p>
      <w:r>
        <w:t>Les frais judiciaires sont mis à la charge de la partie succombante (art. 95 et 106 1ère phrase CPC). L’intimé sera en outre condamné aux frais d'appel et de recours, arrêtés à 84’960 fr., soit 84'000 fr. pour l'appel, comprenant les frais relatifs à l'arrêt sur incident du 14 mars 2016 relatif à l'avance des frais d'appel, et 960 fr. pour le recours (art. 95 al. 1 et 2, 104 al. 1, 105 et 106 al. 1 CPC; art. 13, 17, 35 et 38 RTFMC - RS/GE E 1 05.10), entièrement couverts par les avances de frais de 84'000 fr. et 960 fr. effectuées par les appelants, lesquelles demeurent acquises à l'Etat (art. 111 al. 1 CPC).</w:t>
      </w:r>
    </w:p>
    <w:p>
      <w:r>
        <w:t>L’intimé sera en conséquence condamné à rembourser la somme de 84'960 fr. aux appelants (art. 111 al. 2 CPC). L’intimé sera par ailleurs condamné à payer les dépens des appelants, qui seront fixés à 30’000 fr., TVA et débours compris, au regard de l'activité déployée par les conseils adverses (art. 20, 23 al. 1, 25 et 26 LaCC; art. 25 al. 1 LTVA; art. 84, 85 al. 1 et 90 RTFMC).</w:t>
      </w:r>
    </w:p>
    <w:p>
      <w:r>
        <w:rPr>
          <w:b/>
        </w:rPr>
        <w:t>E. 11</w:t>
      </w:r>
    </w:p>
    <w:p>
      <w:r>
        <w:t>Au vu de l'issue de l'appel, le recours est devenu sans objet. * * * * *</w:t>
      </w:r>
    </w:p>
    <w:p>
      <w:r>
        <w:t>- 36/37 -</w:t>
      </w:r>
    </w:p>
    <w:p>
      <w:r>
        <w:t>C/5729/2009 PAR CES MOTIFS, La Chambre civile : A la forme : Déclare recevables l'appel interjeté le 1er février 2016 et le recours formé le 18 mars 2016 par A______, C______, B______, E______, D______, F______, H______ et G______ contre le jugement JTPI/15656/2015 rendu le 10 décembre 2015 par le Tribunal de première instance dans la cause C/5729/2009-3. Au fond : Annule le jugement entrepris. Cela fait et statuant à nouveau : Annule le testament authentique du 6 novembre 2008 de K______ instrumenté par Me L______, notaire. Annule le testament olographe rédigé le 3 juillet 2008 par K______. Constate que les pactes successoraux des 24 avril 2006 et 13 mars 2007 conclus entre K______, d'une part, et A______, C______ et H______, d'autre part, sont valables et déploient tous leurs effets. Fixe un émolument de première instance complémentaire de 100'000 fr. Condamne J______ aux dépens de première instance, lesquels comprennent une indemnité de procédure de 60’000 fr., valant participation aux honoraires du conseil de A______, C______, B______, E______, D______, F______, H______ et G______, pris conjointement et solidairement, sous déduction de la part supportée par I______ à hauteur de 1/9ème des dépens de première instance arrêtés par le jugement rectifié. Déboute les parties de toutes autres conclusions.</w:t>
      </w:r>
    </w:p>
    <w:p>
      <w:r>
        <w:t>- 37/37 -</w:t>
      </w:r>
    </w:p>
    <w:p>
      <w:r>
        <w:t>C/5729/2009 Sur les frais d’appel et de recours : Arrête les frais judiciaires de l'appel et du recours à 84'960 fr., les met à la charge de J______ et dit qu'ils sont entièrement compensés par les avances de frais de 84'000 fr. et de 960 fr. effectuées par A______, C______, B______, E______, D______, F______, H______ et G______, lesquelles demeurent acquises à l'Etat. Condamne J______ à verser à A______, C______, B______, E______, D______, F______, H______ et G______, pris conjointement et solidairement, la somme de 84'960 fr. à titre de frais judiciaires d'appel et de recours. Condamne J______ à verser à A______, C______, B______, E______, D______, F______, H______ et G______, pris conjointement et solidairement, la somme de 30’000 fr. à titre de dépens d’appel et de recours.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