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ACJC/258/2023 vom 24. Februar 2023</w:t>
      </w:r>
    </w:p>
    <w:p>
      <w:r>
        <w:t>GE Cour de justice, 2023-02-24, FR</w:t>
      </w:r>
    </w:p>
    <w:p>
      <w:r>
        <w:rPr>
          <w:b/>
        </w:rPr>
        <w:t xml:space="preserve">Quelle: </w:t>
      </w:r>
      <w:r>
        <w:t>https://mcp.opencaselaw.ch/entscheid/ge_gerichte_ACJC_258_2023</w:t>
      </w:r>
    </w:p>
    <w:p>
      <w:r>
        <w:t>FR: GE_GERICHTE ACJC/258/2023 du 24 février 2023</w:t>
      </w:r>
    </w:p>
    <w:p>
      <w:r>
        <w:t>IT: GE_GERICHTE ACJC/258/2023 del 24 febbraio 2023</w:t>
      </w:r>
    </w:p>
    <w:p>
      <w:pPr>
        <w:pStyle w:val="Heading2"/>
      </w:pPr>
      <w:r>
        <w:t>Erwägungen</w:t>
      </w:r>
    </w:p>
    <w:p>
      <w:r>
        <w:rPr>
          <w:b/>
        </w:rPr>
        <w:t>E. 1</w:t>
      </w:r>
    </w:p>
    <w:p>
      <w:r>
        <w:t>1.1.1 S'agissant d'une procédure de mainlevée,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notification fictive d'un pli recommandé ne s'applique à l'échéance du délai de garde de sept jours que dans l'hypothèse où le destinataire devait, vraisemblablement, s'attendre à recevoir une communication d'une autorité (arrêt du Tribunal fédéral 5A_454/2012 du 22 août 2012 consid. 4.2.1 et les références citées).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Code de procédure civile commenté, 2019, n. 34 ad art. 133 CPC).</w:t>
      </w:r>
    </w:p>
    <w:p>
      <w:r>
        <w:t>- 4/6 -</w:t>
      </w:r>
    </w:p>
    <w:p>
      <w:r>
        <w:t>C/17207/2022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l'intimé n'a pas retiré le pli recommandé contenant la citation à comparaître à l'audience du Tribunal. Aucun élément ne permet de retenir qu'il en a eu connaissance. Il ne peut être opposé à l'intimé qu'il devait s'attendre à recevoir des communications de la part du Tribunal à la suite de l'opposition qu'il avait formée, puisque la procédure de mainlevée d'opposition constitue une nouvelle procédure. La fiction de notification de l'art. 138 al. 3 let. a CPC n'était dès lors pas applicable.</w:t>
      </w:r>
    </w:p>
    <w:p>
      <w:r>
        <w:t>Il résulte de ce qui précède que le droit d'être entendu de l'intimé a été violé puisqu'il n'a pas été valablement convoqué à l'audience du 13 janvier 2023 et qu'il a ainsi été privé de la possibilité de faire valoir ses arguments devant le Tribunal. La violation du droit d'être entendu de l'intimé ne peut pas être réparée dans le cadre du présent recours puisque la Cour ne dispose pas d'un pouvoir d'examen complet. Il résulte de ce qui précède que la décision querellée doit être annulée, ce que la Cour peut constater d'entrée de cause (art. 253 CPC), sans préjudice de la recevabilité du recours. La cause sera dès lors retournée au Tribunal, qui a choisi la procédure orale (art. 253 CPC), pour qu'il cite valablement les parties à comparaître afin que l'intimé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w:t>
      </w:r>
    </w:p>
    <w:p>
      <w:r>
        <w:t>- 5/6 -</w:t>
      </w:r>
    </w:p>
    <w:p>
      <w:r>
        <w:t>C/17207/2022 Les frais judiciaires qui ne sont pas imputables aux parties ni aux tiers peuvent être mis à la charge du canton si l'équité l'exige (art. 107 al. 2 CPC).</w:t>
      </w:r>
    </w:p>
    <w:p>
      <w:r>
        <w:rPr>
          <w:b/>
        </w:rPr>
        <w:t>E. 2.2</w:t>
      </w:r>
    </w:p>
    <w:p>
      <w:r>
        <w:t>En l'espèce, aucun acte d'instruction n'ayant été effectué, il ne sera pas perçu de frais judiciaires (art. 7 RTFMC). L’avance de frais de 225 fr. versée par la partie recourante lui sera dès lors restituée. Il ne sera pour le surplus pas alloué de dépens (art. 105 al. 1 et 2 CPC), l'intimé ne s'étant pas déterminée. * * * * *</w:t>
      </w:r>
    </w:p>
    <w:p>
      <w:r>
        <w:t>- 6/6 -</w:t>
      </w:r>
    </w:p>
    <w:p>
      <w:r>
        <w:t>C/17207/2022 PAR CES MOTIFS, La Chambre civile : Annule le jugement JTPI/981/2023 rendu le 19 janvier 2023 par le Tribunal de première instance dans la cause C/17207/2022-5 SML. Renvoie la cause au Tribunal de première instance pour nouvelle décision. Dit qu'il n'est pas perçu de frais judiciaires ni alloué de dépens de recours. Invite les Services financiers du Pouvoir judiciaire à restituer la somme de 225 fr. au [Syndicat] A______. Déboute les parties de toutes autres conclusions. Siégeant : Madame Pauline ERARD, présidente, Madame Nathalie LANDRY-BARTHE, Monsieur Ivo BUETTI,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