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ACJC/256/2021 vom 30. Oktober 2020</w:t>
      </w:r>
    </w:p>
    <w:p>
      <w:r>
        <w:t>GE Cour de justice, 2020-10-30, FR</w:t>
      </w:r>
    </w:p>
    <w:p>
      <w:r>
        <w:rPr>
          <w:b/>
        </w:rPr>
        <w:t xml:space="preserve">Quelle: </w:t>
      </w:r>
      <w:r>
        <w:t>https://mcp.opencaselaw.ch/entscheid/ge_gerichte_ACJC_256_2021</w:t>
      </w:r>
    </w:p>
    <w:p>
      <w:r>
        <w:t>FR: GE_GERICHTE ACJC/256/2021 du 30 octobre 2020</w:t>
      </w:r>
    </w:p>
    <w:p>
      <w:r>
        <w:t>IT: GE_GERICHTE ACJC/256/2021 del 30 ottobre 2020</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dix jours (art. 271 let. a et 314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w:t>
      </w:r>
    </w:p>
    <w:p>
      <w:r>
        <w:rPr>
          <w:b/>
        </w:rPr>
        <w:t>E. 6</w:t>
      </w:r>
    </w:p>
    <w:p>
      <w:r>
        <w:t>septembre 2016 consid. 5.2; 5A_937/2014 du 26 mai 2015 consid. 6.2.2). Les maximes d'office et inquisitoire illimitée sont applicables aux questions concernant les enfants mineurs (art. 55 al. 2, 58 al. 2 et art. 296 CPC), ce qui a pour conséquence que la Cour n'est pas liée par les conclusions des parties</w:t>
      </w:r>
    </w:p>
    <w:p>
      <w:r>
        <w:t>- 8/21 -</w:t>
      </w:r>
    </w:p>
    <w:p>
      <w:r>
        <w:t>C/15835/2019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w:t>
      </w:r>
    </w:p>
    <w:p>
      <w:r>
        <w:rPr>
          <w:b/>
        </w:rPr>
        <w:t>E. 6.1</w:t>
      </w:r>
    </w:p>
    <w:p>
      <w:r>
        <w:t>En vertu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les relations personnelles, la participation de chaque parent à la prise en charge de l'enfant et la contribution d'entretien (ATF 142 III 617 consid. 3.2.2).</w:t>
      </w:r>
    </w:p>
    <w:p>
      <w:r>
        <w:rPr>
          <w:b/>
        </w:rPr>
        <w:t>E. 6.1.1</w:t>
      </w:r>
    </w:p>
    <w:p>
      <w:r>
        <w:t>La garde alternée est la situation dans laquelle les parents exercent en commun l'autorité parentale, mais se partagent la garde de l'enfant pour des périodes plus ou moins égales, qui peuvent être fixées en jours ou en semaines, voire en mois (arrêts du Tribunal fédéral 5A_991/2019 du 19 janvier 2021 consid. 5.1.1; 5A_805/2019 du 27 mars 2020 consid. 4.1). Bien que l'autorité parentale conjointe soit désormais la règle et qu'elle comprenne le droit de déterminer le lieu de résidence de l'enfant, elle n'implique pas nécessairement l'instauration d'une garde alternée. Le juge doit néanmoins examiner, nonobstant et indépendamment de l'accord des parents quant à une garde alternée, si celle-ci est possible et compatible avec le bien de l'enfant, lequel constitue la règle fondamentale en matière d'attribution des droits parentaux, les intérêts des parents devant être relégués au second plan (ATF 142 III 617 consid. 3.2.3; arrêt du Tribunal fédéral 5A_534/2019 du 31 janvier 2020 consid. 3.1).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w:t>
      </w:r>
    </w:p>
    <w:p>
      <w:r>
        <w:t>- 12/21 -</w:t>
      </w:r>
    </w:p>
    <w:p>
      <w:r>
        <w:t>C/15835/2019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arrêt du Tribunal fédéral 5A_334/2019 précité consid. 3.1). Pour apprécier ces critères, le juge du fait, qui connaît le mieux les parties et le milieu dans lequel vit l'enfant, dispose d'un large pouvoir d'appréciation (ATF 142 III 617 consid. 3.2.5; arrêt du Tribunal fédéral 5A_334/2019 précité consid. 3.1).</w:t>
      </w:r>
    </w:p>
    <w:p>
      <w:r>
        <w:rPr>
          <w:b/>
        </w:rPr>
        <w:t>E. 6.1.2</w:t>
      </w:r>
    </w:p>
    <w:p>
      <w:r>
        <w:t>Le juge n'est pas lié par les conclusions du SEASP. Le rapport de ce service (lequel constitue une preuve au sens des art. 168 et 190 CPC) est soumis, à l'instar des autres preuves, au principe de la libre appréciation consacrée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(ACJC/826/2020 du 16 juin 2020 consid. 2.1.2; ACJC/1311/2017 du 11 octobre 2017 consid. 3.1.2; ACJC/1208/2016 du 9 septembre 2016 consid. 5.1.2).</w:t>
      </w:r>
    </w:p>
    <w:p>
      <w:r>
        <w:rPr>
          <w:b/>
        </w:rPr>
        <w:t>E. 6.2</w:t>
      </w:r>
    </w:p>
    <w:p>
      <w:r>
        <w:t>En l'espèce, il ne peut être reproché au Tribunal d'avoir instauré une garde alternée sur C______. En effet, les parties présentent toutes deux de bonnes compétences éducatives, ce qu'elles reconnaissent, et parviennent à collaborer et à communiquer en dépit des tensions liées à leur séparation. La garde alternée est par ailleurs pratiquée depuis un an et demi et convient à C______, qui se développe bien selon tous les intervenants entendus par le SEASP, et est prise en charge conformément à ses besoins.</w:t>
      </w:r>
    </w:p>
    <w:p>
      <w:r>
        <w:t>- 13/21 -</w:t>
      </w:r>
    </w:p>
    <w:p>
      <w:r>
        <w:t>C/15835/2019 Aucun des arguments soulevés par l'appelante ne permet de remettre en cause ce qui précède. Il n'existe en particulier aucune raison de penser que l'intimé pourrait se montrer violent ou adopter un comportement inadéquat envers C______. En effet, aucun fait de violence envers l'enfant n'a été allégué et les craintes formulées par l'appelante s'agissant des réactions agressives de l'intimé n'ont été corroborées par aucun élément du dossier. Le constat médical et la plainte pénale ne sont pas suffisants à cet égard en tant qu'ils se fondent sur les déclarations de l'appelante, lesquelles sont contestées par l'intimé. L'allégation selon laquelle l'intimé aurait entretenu une relation intime avec D______ n'a par ailleurs pas été rendue suffisamment vraisemblable, les déclarations de cette dernière ayant varié et n'étant appuyées par aucun élément probant. L'on ignore en particulier tout des conditions dans lesquelles les attestations des 26 janvier et 7 février 2020 ont été rédigées et leur force probante est sujette à caution. En tout état de cause cet élément n'est pas décisif, dans la mesure où aucun élément de la procédure ne permet de retenir que l'intimé aurait adopté une attitude inadéquate à l'égard de C______. La sous-location, par l'intimé, d'une partie de son logement n'a pas non plus été rendue vraisemblable, de sorte qu'il n'y a pas lieu d'examiner l'éventuel impact de la présence d'une tierce personne dans son appartement sur C______. Ensuite et contrairement à ce que soutient l'appelante, il ne ressort pas de la procédure que l'intimé serait indisponible pour s'occuper de sa fille en raison d'horaires de travail irréguliers. Si ces derniers ne correspondent pas à des horaires de bureau et impliquent une prise en charge par une nounou ou par sa propre mère en soirée, ils sont fixes et l'intimé est davantage disponible en début de matinée ainsi que l'après-midi pour s'occuper de C______, moments auxquels l'appelante ne l'est pas et se tourne alors également vers une prise en charge externe. Il ne peut ainsi être reproché à l'intimé de confier sa fille à un tiers en soirée lorsqu'il travaille, l'appelante faisant de même la journée. Il n'y a par ailleurs pas lieu de modifier la prise en charge de l'enfant au motif que la mineure aurait besoin de sa mère pour maintenir le réseau social, éducatif et médical qu'elle a créé, dès lors que les parties habitent le même quartier et bénéficient ainsi vraisemblablement du même réseau. Enfin, la Cour peine à comprendre la motivation de l'appelante au sujet de l'organisation particulière qu'elle dit avoir mise en place. Les parties disposent toutes deux d'un logement approprié et se sont toutes deux occupées de C______ depuis la séparation. Au vu de ce qui précède, il n'existe aucune raison de modifier la prise en charge de C______ telle que fixée par le Tribunal et pratiquée par les parties depuis leur séparation, celle-ci convenant à l'enfant et étant conforme à son intérêt.</w:t>
      </w:r>
    </w:p>
    <w:p>
      <w:r>
        <w:t>- 14/21 -</w:t>
      </w:r>
    </w:p>
    <w:p>
      <w:r>
        <w:t>C/15835/2019 Le chiffre 3 du dispositif du jugement entrepris sera par conséquent confirmé. 7. En ce qui concerne l'aspect financier de la séparation, le Tribunal a retenu que le budget de l'appelante était déficitaire, tant avec son revenu actuel de 2'622 fr. 15 qu'avec le revenu hypothétique de 3'000 fr. imputé à compter du 1er avril 2021, compte tenu de ses charges de 3'402 fr. 10. L'intimé bénéficiait quant à lui d'un solde disponible de 971 fr. (revenus de 4'690 fr. 80 – charges de 3'719 fr.). Il assumait toutefois l'entretien courant de C______ en 200 fr. lorsqu'elle se trouvait chez lui, les frais de crèche en 504 fr. et de nounou en 834 fr. 50, de sorte qu'il n'était pas possible de mettre une contribution d'entretien à sa charge, son budget étant déjà déficitaire moyennant la prise en charge des frais précités. L'appelante reproche au Tribunal de ne pas avoir fixé de contribution d'entretien malgré le fait que l'intimé se soit engagé à verser une contribution de 300 fr. De plus, la décision du Tribunal est selon elle disproportionnée au vu de sa situation précaire et des "conditions favorables" de l'intimé. 7.1.1 Selon l'art. 276 CC, auquel renvoie l'art. 176 al. 1 ch.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(arrêts du Tribunal fédéral 5A_583/2018 du 18 janvier 2019 consid. 5.1; 5A_119/2017 du 30 août 2017 consid. 7.1).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7.1.2 La loi ne prescrit pas de méthode de calcul particulière pour arrêter la quotité de la contribution d'entretien. Sa fixation relève de l'appréciation du juge,</w:t>
      </w:r>
    </w:p>
    <w:p>
      <w:r>
        <w:t>- 15/21 -</w:t>
      </w:r>
    </w:p>
    <w:p>
      <w:r>
        <w:t>C/15835/2019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Dans le calcul des ressources des parties, il n'y a pas lieu de tenir compte de l'aide perçue de l'assistance publique, dans la mesure où l'aide sociale est subsidiaire par</w:t>
      </w:r>
    </w:p>
    <w:p>
      <w:r>
        <w:t>- 16/21 -</w:t>
      </w:r>
    </w:p>
    <w:p>
      <w:r>
        <w:t>C/15835/2019 rapport aux obligations d'entretien du droit de la famille (arrêt du Tribunal fédéral 5A_158/2010 du 25 mars 2010 consid. 3.2). 7.1.3 L'obligation d'entretien trouve sa limite dans la capacité contributive du débirentier, en ce sens que le minimum vital de celui-ci doit être préservé (ATF 135 III 66 consid. 2; arrêts du Tribunal fédéral 5A_329/2019 du 25 octobre 2019 consid. 3.3.1.1; 5A_280/2016 du 18 novembre 2016 consid. 4.4.1). 7.2.1 En l'espèce, le Tribunal a retenu que l'intimé réalisait en temps normal un revenu mensuel net de 4'690 fr. 80. L'intimé soutient qu'il est à nouveau au chômage partiel depuis la seconde fermeture des restaurants et qu'il ne perçoit dès lors que 80% de son salaire. Or, si la fermeture des restaurants au public en raison de la crise sanitaire est un fait notoire, elle ne justifie pas en l'espèce de retenir un salaire moins élevé. En effet, l'intimé n'a produit aucune pièce pour justifier la baisse de ses revenus et la Cour relève qu'en dépit de la fermeture des restaurants au public, la plupart d'entre eux demeurent ouverts pour des services de livraison ou de vente à l'emporter. Il n'y a ainsi pas de raison de penser que tel ne serait pas le cas du restaurant où travaille l'intimé, de sorte que son salaire mensuel net de 4'690 fr. 80 sera confirmé en l'absence de pièce rendant vraisemblable une baisse effective de ses revenus. S'agissant de ses charges, il ne se justifie pas de retenir un montant de base OP de 1'200 fr. en lieu et place des 1'350 fr. retenus par le Tribunal, dès lors que la garde alternée a été confirmée. Il n'y a pas non plus lieu de modifier le montant de sa prime d'assurance-maladie au motif qu'il ne percevrait plus de subside depuis le 1er janvier 2021, cette allégation n'ayant pas été rendue vraisemblable.</w:t>
      </w:r>
    </w:p>
    <w:p>
      <w:r>
        <w:t>Enfin, compte tenu de la situation financière serrée des parties, la charge fiscale ne sera pas prise en compte.</w:t>
      </w:r>
    </w:p>
    <w:p>
      <w:r>
        <w:t>Les charges mensuelles de l'intimé en 3'719 fr. seront donc confirmées, laissant apparaître un solde disponible de 971 fr. 80 (4'690 fr. 80 – 3'719 fr.). 7.2.2 Le salaire mensuel net de l'appelante, arrêté par le Tribunal à 2'622 fr. 15, treizième salaire compris, et le revenu hypothétique de 3'000 fr. à compter du 1er avril 2021 ne sont pas remis en cause par les parties et seront donc confirmés. Les prestations versées par l'Hospice général n'ont, à juste titre, pas été comptabilisées dans ses revenus, dans la mesure où l'aide sociale est subsidiaire aux contributions d'entretien du droit de la famille. S'agissant de ses charges, l'appelante dispose d'un nouveau logement depuis le 1er juin 2020 pour un loyer mensuel de 1'088 fr. au lieu des 1'680 fr. précédents. Il en sera dès lors tenu compte.</w:t>
      </w:r>
    </w:p>
    <w:p>
      <w:r>
        <w:t>- 17/21 -</w:t>
      </w:r>
    </w:p>
    <w:p>
      <w:r>
        <w:t>C/15835/2019 Ses charges mensuelles incompressibles, non contestées pour le surplus, s'élèvent ainsi à 2'810 fr. 10 (3'402 fr. 10 – 1'680 fr. + 1'088 fr.). Elle accuse un déficit mensuel de 187 fr. 95 (2'622 fr. 15 – 2'810 fr. 10). A compter du 1er avril 2021, elle bénéficiera toutefois d'un solde disponible de 189 fr. 90 (3'000 fr. – 2'810 fr. 10), compte tenu de son revenu hypothétique de 3'000 fr. 7.2.3 L'entretien convenable de C______ a été arrêté par le Tribunal au montant arrondi de 1'650 fr., déduction faite des allocations familiales, comprenant le montant de base OP (400 fr.), les primes d'assurance-maladie, subside déduit (36 fr. 70), les frais de crèche (680 fr. 55) et les frais de nounou (834 fr. 50). Contrairement à ce que soutient l'appelante, il ne peut être reproché au Tribunal d'avoir retenu les frais de nounou dans les charges de l'enfant, dans la mesure où les parties exercent une garde alternée et où ces frais sont nécessaires pour que l'intimé puisse travailler en soirée. Ils seront donc confirmés, étant précisé que leur montant n'est pas remis en cause en tant que tel et apparaît vraisemblable au regard des pièces produites. Il convient d'actualiser les frais de crèche, qui ont augmenté depuis que C______ s'y rend également le vendredi. Ils s'élèvent désormais à 869 fr. 65 par mois (693 fr. 10 + 176 fr. 55), étant précisé que l'appelante n'allègue pas que la part lui incombant aurait augmenté. Les parties ne remettant pas en cause le fait que ces frais sont engagés sur dix mois, un montant de 724 fr. 70 ([869 fr. 65 x 10] ÷ 12) sera par conséquent comptabilisé dans les charges de C______. Dans la mesure où la garde alternée est confirmée, il n'y a pas lieu d'intégrer une participation au loyer de sa mère dans les charges de l'enfant (cf. arrêt du Tribunal fédéral 5A_200/2019 du 29 janvier 2020 consid. 4). Enfin, les frais de cours de danse seront écartés, dans la mesure où ceux-ci ne sont financés qu'au moyen d'un éventuel excédent, conformément à la nouvelle jurisprudence du Tribunal fédéral. Au vu de ce qui précède, l'entretien convenable de C______ s'élève au montant arrondi de 1'700 fr., déduction faite des allocations familiales de 300 fr., comprenant le montant de base OP (400 fr.), les primes d'assurance-maladie, subside déduit (36 fr. 70), les frais de crèche (724 fr. 70) et les frais de nounou (834 fr. 50). 7.2.4 Les parties exerçant une garde alternée sur C______, son entretien financier est en principe réparti à parts égales entre elles. Cela étant, compte tenu de la situation déficitaire de l'appelante, il convient d'examiner si l'intimé est en mesure de contribuer davantage à l'entretien financier de l'enfant. En l'occurrence, il s'acquitte de la moitié de l'entretien de base de C______ lorsqu'elle se trouve chez lui (200 fr.), des frais de crèche qui lui sont directement facturés (577 fr. 60 =</w:t>
      </w:r>
    </w:p>
    <w:p>
      <w:r>
        <w:t>- 18/21 -</w:t>
      </w:r>
    </w:p>
    <w:p>
      <w:r>
        <w:t>C/15835/2019 [693 fr. 10 x 10] ÷ 12) et des frais de nounou lorsqu'il travaille en soirée (834 fr. 50), ce qui représente un total de 1'612 fr. 10 et entame déjà son minimum vital. Dans ces conditions, il ne peut être reproché au Tribunal de ne pas l'avoir condamné à verser en sus une contribution d'entretien. Le fait que l'intimé ait proposé, en avril 2020, de verser 300 fr. par mois pour l'entretien de C______ ne change pas ce qui précède, dans la mesure où le minimum vital du débirentier doit en tous les cas être préservé, étant pour le surplus rappelé que le Tribunal n'est pas lié par les conclusions des parties. En tout état de cause, cette proposition n'a pas été réitérée devant la Cour, l'intimé relevant que ses charges avaient augmenté dans l'intervalle. L'appelante doit assumer la moitié de l'entretien de l'enfant lorsqu'elle se trouve chez elle (200 fr.), les primes d'assurance-maladie, subside déduit (36 fr. 70) et les frais de crèche qui lui sont directement facturés (147 fr. 15 = [176 fr. 55 x 10] ÷ 12), soit un montant total de 383 fr. 85, couverts à hauteur de 300 fr. par les allocations familiales qui lui sont reversées. A compter du 1er avril 2021, l'appelante sera par ailleurs en mesure de s'acquitter du solde de 83 fr. 85 au moyen de son disponible de 189 fr. 90. Au vu de ce qui précède, le jugement entrepris sera confirmé en tant qu'il ne condamne pas l'intimé à verser à l'appelante une contribution d'entretien en faveur de C______. Le chiffre 5 du jugement entrepris sera néanmoins modifié pour tenir compte du nouveau montant de l'entretien convenable de C______. 8. 8.1 La modification partielle du jugement entrepris ne commande pas de revoir la décision du Tribunal sur les frais de première instance (art. 318 al. 3 CPC), laquelle ne fait l'objet d'aucun grief et est conforme aux normes applicables (art. 31 RTFMC; art. 107 al. 1 let c CPC). 8.2 Les frais judiciaires d'appel, comprenant les émoluments forfaitaires de la présente décision et de la décision sur effet suspensif, seront fixés à 1'200 fr. (art. 31 et 37 RTFMC). Pour des motifs d'équité liés à la nature du litige, ils seront répartis à parts égales entre les parties (art. 107 al. 1 let. c CPC). Dès lors que l'appelante plaide au bénéfice de l'assistance judiciaire, sa part sera provisoirement laissée à la charge de l'Etat, qui pourra en demander le remboursement ultérieurement (art. 123 al. 1 CPC et 19 RAJ). L'intimé sera quant à lui condamné à verser 600 fr. à l'Etat de Genève, soit pour lui les Services financiers du Pouvoir judiciaire. Compte tenu de la nature familiale du litige, chaque partie supportera ses propres dépens d'appel (art. 107 al. 1 let. c CPC). * * * * *</w:t>
      </w:r>
    </w:p>
    <w:p>
      <w:r>
        <w:t>- 19/21 -</w:t>
      </w:r>
    </w:p>
    <w:p>
      <w:r>
        <w:t>C/15835/2019</w:t>
      </w:r>
    </w:p>
    <w:p>
      <w:r>
        <w:t>- 20/21 -</w:t>
      </w:r>
    </w:p>
    <w:p>
      <w:r>
        <w:t>C/15835/2019</w:t>
      </w:r>
    </w:p>
    <w:p>
      <w:r>
        <w:t>PAR CES MOTIFS, La Chambre civile : A la forme : Déclare recevable l'appel interjeté le 16 novembre 2020 par A______ contre le jugement JTPI/13331/2020 rendu le 30 octobre 2020 par le Tribunal de première instance dans la cause C/15835/2019-17. Au fond : Annule le chiffre 5 du jugement entrepris et, statuant à nouveau sur ce point : Dit que l'entretien convenable de C______ s'élève, hors allocations familiales, à 1'700 fr. par mois. Confirme le jugement entrepris pour le surplus. Déboute les parties de toutes autres conclusions. Sur les frais : Arrête les frais judiciaires d'appel à 1'200 fr. et les met à la charge de chacune des parties par moitié. Dit que la part de A______ est provisoirement supportée par l'Etat de Genève. Condamne B______ à verser 600 fr. à l'Etat de Genève, soit pour lui les Services financiers du Pouvoir judiciaire.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- 21/21 -</w:t>
      </w:r>
    </w:p>
    <w:p>
      <w:r>
        <w:t>C/15835/2019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avril 2018 consid. 4.3.2). 2. La cause présente un élément d'extranéité compte tenu de la nationalité nicaraguayenne, respectivement italienne, des parties. Dans la mesure où ces dernières ainsi que leur enfant sont domiciliés dans le canton de Genève, les Tribunaux genevois sont compétents pour se prononcer sur le litige (art. 46, 79 et 85 al. 1 LDIP; art. 5 CLaH96; art. 2 et 5 ch. 2 CL) et le droit suisse est applicable (art. 48 al. 1, 82, 83 et 85 al. 1 LDIP; art. 15ss CLaH96; art. 4 ch. 1 CLaH73), ce qui n'est au demeurant pas contesté par les parties. 3.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(ACJC/1159/2020 du 14 avril 2020 consid. 4.1; ACJC/774/2018 du 14 juin 2018 consid. 5.1; ACJC/592/2017 du 19 mai 2017 consid. 4; HOHL, Procédure civile, tome II, 2010, n. 2392). 3.2 Les pièces nouvelles étant susceptibles d'avoir une influence sur les questions relatives à l'enfant mineure, elles sont recevables, de même que les faits qui s'y rapportent.</w:t>
      </w:r>
    </w:p>
    <w:p>
      <w:r>
        <w:t>- 9/21 -</w:t>
      </w:r>
    </w:p>
    <w:p>
      <w:r>
        <w:t>C/15835/2019 Les nouvelles conclusions de l'appelante sont également recevables, dès lors qu'elles sont soumises à la maxime d'office, étant rappelé que le juge n'est pas lié par les conclusions des parties (art. 296 al. 3 CPC). 4. L'appelante sollicite des mesures d'instruction à titre préalable.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L'autorité jouit d'un large pouvoir d'appréciation (arrêt du Tribunal fédéral 4A_229/2012 du 19 juillet 2012 consid. 4). 4.2.1 En l'espèce, l'appelante conclut à ce que la Cour ordonne la comparution personnelle des parties, sans expliquer pour quelle raison celle-ci serait nécessaire. Les époux ont été entendus lors de deux audiences en première instance et ont pu s'exprimer librement en seconde instance dans leurs écritures. Ils ont ainsi pu faire valoir leur point de vue à de réitérées reprises, de sorte qu'il ne se justifie pas d'ordonner leur comparution personnelle en procédure d'appel, étant rappelé que la procédure sommaire est applicable aux mesures protectrices de l'union conjugale et exige une certaine célérité. 4.2.2 L'appelante sollicite ensuite qu'un rapport complémentaire du SEASP soit ordonné afin de prendre en compte les conditions matérielles du logement de l'intimé, qui en sous-loue une pièce selon elle, et l'indisponibilité de ce dernier pour s'occuper de C______ au regard de ses horaires de travail.</w:t>
      </w:r>
    </w:p>
    <w:p>
      <w:r>
        <w:t>- 10/21 -</w:t>
      </w:r>
    </w:p>
    <w:p>
      <w:r>
        <w:t>C/15835/2019 L'appelante n'a toutefois pas rendu vraisemblable que l'intimé sous-louerait une partie de son logement, ce que celui-ci conteste, de sorte qu'il ne se justifie pas d'ordonner un rapport complémentaire du SEASP pour ce motif. Il en va de même s'agissant des disponibilités de l'intimé pour s'occuper de C______, dans la mesure où ses horaires de travail n'ont pas changé et ont d'ores et déjà été pris en compte par le SEASP dans le cadre de sa première évaluation sociale. 4.2.3 Au vu de ce qui précède, il ne sera pas donné suite aux conclusions préalables de l'appelante. 5. L'appelante sollicite le prononcé de mesures provisionnelles concernant les droits parentaux et la contribution d'entretien en faveur de C______. 5.1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Cour de céans considère que des mesures provisionnelles peuvent valablement être prononcées dans le cadre d'une procédure de mesures protectrices de l'union conjugale, notamment lorsque cette procédure risque de se prolonger. De telles mesures ne peuvent toutefois être ordonnées que pour autant que les conditions posées par l'art. 261 CPC soient réunies (ACJC/763/2019 du 14 mai 2019 consid. 1.3; ACJC/474/2016 du 8 avril 2016 consid. 2.1; ACJC/395/2015 du 27 mars 2015 consid. 3.3.1). Le Tribunal fédéral a jugé que cette solution n'était pas arbitraire compte tenu de la controverse existant à ce sujet (arrêt du Tribunal fédéral 5A_870/2013 du 28 octobre 2014 consid. 5). 5.2 En l'espèce, l'appelante ne fait pas état d'une urgence particulière à statuer dans le cadre de la procédure de mesures protectrices de l'union conjugale, lesquelles constituent déjà des mesures provisionnelles, et les mesures d'instructions qu'elle a sollicitées ont été rejetées (cf. supra consid. 4), de sorte que la procédure ne risque pas de se prolonger. Dans ces conditions, il n'existe aucune raison de prononcer des mesures provisionnelles, la cause étant en état d'être jugée. L'appelante sera par conséquent déboutée de ses conclusions sur ce point. 6. Le Tribunal a instauré une garde alternée sur C______ en se fondant sur l'analyse positive effectuée par le SEASP en lien avec ce mode de garde, le fait qu'il avait déjà été mis en place par les parties depuis leur séparation et semblait être dans l'intérêt de l'enfant. Les parties s'étaient en outre déclarées d'accord avec cette</w:t>
      </w:r>
    </w:p>
    <w:p>
      <w:r>
        <w:t>- 11/21 -</w:t>
      </w:r>
    </w:p>
    <w:p>
      <w:r>
        <w:t>C/15835/2019 solution lors de l'audience du 29 avril 2020 et l'appelante n'était pas revenue clairement sur son accord à cet égard dans son courrier du 4 mai 2020, dans lequel elle ne faisait du reste pas état d'un comportement inapproprié de l'intimé envers C______. L'appelante fait grief au Tribunal d'avoir simplement suivi les conclusions du SEASP, lequel n'a, selon elle, pas analysé correctement plusieurs éléments. Elle soutient que les critères pour l'attribution d'une garde alternée ne sont pas réalisés en raison de ses craintes face aux réactions agressives de l'intimé et de ses antécédents avec D______, de l'indisponibilité de l'intimé pour s'occuper de l'enfant, de la présence d'une tierce personne dans l'appartement de celui-ci et de l'organisation particulière qu'elle a mise en place pour s'occuper de sa fille et lui assurer son développement émotionnel et matériel.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