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ACJC/253/2020 vom 25. Februar 2020</w:t>
      </w:r>
    </w:p>
    <w:p>
      <w:r>
        <w:t>GE Cour de justice, 2020-02-25, FR</w:t>
      </w:r>
    </w:p>
    <w:p>
      <w:r>
        <w:rPr>
          <w:b/>
        </w:rPr>
        <w:t xml:space="preserve">Quelle: </w:t>
      </w:r>
      <w:r>
        <w:t>https://mcp.opencaselaw.ch/entscheid/ge_gerichte_ACJC_253_2020</w:t>
      </w:r>
    </w:p>
    <w:p>
      <w:r>
        <w:t>FR: GE_GERICHTE ACJC/253/2020 du 25 février 2020</w:t>
      </w:r>
    </w:p>
    <w:p>
      <w:r>
        <w:t>IT: GE_GERICHTE ACJC/253/2020 del 25 febbraio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de première instance, est supérieure à 10'000 fr. (art. 308 al. 1 let. a et al. 2 CPC). En l'espèce, la cause portait, devant le Tribunal, sur la contribution d'entretien due au mineur, ainsi que sur l'organisation des relations personnelles, de sorte qu'il s'agit d'une affaire non patrimoniale dans son ensemble et que la voie de l'appel est ouverte. Interjeté dans le délai et la forme (art. 311 al. 1 et 145 al. 1 let. b CPC) prescrits, l'appel est recevable. Il en va de même de l'appel joint, conforme aux exigences de l'art. 313 al. 1 CPC. Par souci de simplification, le mineur sera désigné comme l'appelant et C______ comme l'intimé.</w:t>
      </w:r>
    </w:p>
    <w:p>
      <w:r>
        <w:rPr>
          <w:b/>
        </w:rPr>
        <w:t>E. 1.2</w:t>
      </w:r>
    </w:p>
    <w:p>
      <w:r>
        <w:t>S'agissant d'une action qui n'est pas liée à une procédure matrimoniale, la procédure simplifiée s'applique (art. 295 CPC). La Cour revoit la cause avec un plein pouvoir d'examen (art. 310 CPC), mais uniquement dans la limite des griefs formulés (arrêts du Tribunal fédéral 4A_290/2014 du 1er septembre 2014 consid. 5;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w:t>
      </w:r>
    </w:p>
    <w:p>
      <w:r>
        <w:rPr>
          <w:b/>
        </w:rPr>
        <w:t>E. 1.3</w:t>
      </w:r>
    </w:p>
    <w:p>
      <w:r>
        <w:t>Lorsque la procédure est soumise à la maxime inquisitoire illimitée, les parties peuvent présenter des faits nouveaux en appel même si les conditions de l'art. 317 al. 1 CPC ne sont pas réunies (ATF 144 III 349 consid. 4.2.1).</w:t>
      </w:r>
    </w:p>
    <w:p>
      <w:r>
        <w:t>Dès lors, les pièces nouvelles produites devant la Cour et les faits auxquels elles se réfèrent sont recevables.</w:t>
      </w:r>
    </w:p>
    <w:p>
      <w:r>
        <w:rPr>
          <w:b/>
        </w:rPr>
        <w:t>E. 2</w:t>
      </w:r>
    </w:p>
    <w:p>
      <w:r>
        <w:t>Le maintien de l'autorité parentale conjointe n'est pas remis en cause par l'appelant, qui s'oppose par contre à la garde alternée ordonnée par le Tribunal.</w:t>
      </w:r>
    </w:p>
    <w:p>
      <w:r>
        <w:t>- 7/12 -</w:t>
      </w:r>
    </w:p>
    <w:p>
      <w:r>
        <w:t>C/19629/2017</w:t>
      </w:r>
    </w:p>
    <w:p>
      <w:r>
        <w:t>Les contributions d'entretien fixées par le Tribunal ne font pas non plus l'objet de l'appel.</w:t>
      </w:r>
    </w:p>
    <w:p>
      <w:r>
        <w:t>2.1.1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2.1.2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w:t>
      </w:r>
    </w:p>
    <w:p>
      <w:r>
        <w:t>- 8/12 -</w:t>
      </w:r>
    </w:p>
    <w:p>
      <w:r>
        <w:t>C/19629/2017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w:t>
      </w:r>
    </w:p>
    <w:p>
      <w:r>
        <w:rPr>
          <w:b/>
        </w:rPr>
        <w:t>E. 2.2</w:t>
      </w:r>
    </w:p>
    <w:p>
      <w:r>
        <w:t>En l'espèce et selon ce qui ressort du rapport du Service d'évaluation et d'accompagnement de la séparation parentale du 1er novembre 2018, B______ et l'intimé ont organisé la prise en charge de leur fils de la manière suivante, étant précisé qu'en l'état B______ et l'intimé vivent dans deux appartements distincts situés dans le même immeuble : l'enfant est pris en charge par son père un week- end sur deux (du vendredi soir au lundi matin) et alternativement du mercredi soir au jeudi matin ou du mardi soir au jeudi matin. Sur une période de deux semaines, soit quatorze jours, la mère prend par conséquent en charge l'enfant, qui est désormais scolarisé et qui fréquentait auparavant la crèche quatre jours par semaines, à raison de huit nuits et le père de six, le partage des vacances scolaires n'étant, en tant que tel, pas remis en cause. Le jugement attaqué n'a pas fondamentalement modifié cette organisation, puisque le premier juge n'a fait que rajouter un jour à la prise en charge du mineur par son père, cette prise en charge devant par conséquent s'étendre, durant la semaine qui suit son week-end de garde, non plus du mardi soir au jeudi matin, mais du mardi après-midi (en réalité à la sortie de l'école) au vendredi matin. Ainsi et sur une période de quinze jours, tant la mère que le père prendraient en charge leur fils à raison de sept nuits chacun. L'organisation des relations personnelles entre un mineur et ses parents n'est toutefois pas un exercice purement comptable, qui aurait pour but d'assurer la plus grande égalité possible entre les parents dans la prise en charge de leur enfant. Ce qui doit prévaloir avant tout est l'intérêt de ce dernier à pouvoir, en dépit de la séparation de ses parents, conserver sur le long terme la plus grande stabilité et continuité possible dans l'organisation de son quotidien. Les parents étant, a priori, les mieux à même de déterminer les besoins de leur enfant et de s'organiser en fonction, notamment, de leurs impératifs professionnels, il est regrettable que dans la présente procédure ils ne soient pas parvenus à trouver une solution consensuelle, ce d'autant plus, encore une fois, que l'organisation des relations personnelles telle que prévue par le jugement attaqué n'est pas substantiellement différente de celle qu'ils avaient mise en place. Selon ce qui ressort du rapport du Service d'évaluation et d'accompagnement de la séparation parentale, l'organisation expérimentée par les parents après leur séparation convient tant à ces derniers qu'à leur fils, qui se montre épanoui et parle avec facilité du temps qu'il passe chez sa mère et son père, notion qu'il a</w:t>
      </w:r>
    </w:p>
    <w:p>
      <w:r>
        <w:t>- 9/12 -</w:t>
      </w:r>
    </w:p>
    <w:p>
      <w:r>
        <w:t>C/19629/2017 parfaitement intégrée. La Cour relève en outre que l'intimé travaille à plein temps et que l'enfant est pour sa part scolarisé, de sorte que l'ajout opéré par le Tribunal revient au final à accorder une soirée de plus tous les quinze jours au père et semble avoir davantage pour but d'assurer une égalité parfaite du nombre de nuits que l'enfant devrait désormais passer chez chaque parent que de répondre à un réel besoin du mineur lui-même. Or, l'intérêt de celui-ci étant de conserver l'équilibre retrouvé après la séparation de ses parents, il n'existe aucune nécessité de modifier l'organisation mise en place par les parties elles-mêmes, qui sera confirmée et qu'il convient de définir. Or, l'organisation voulue par les parents correspond, dans les faits, à une prise en charge alternée du mineur puisque, selon la jurisprudence du Tribunal fédéral, la prise en charge ne doit pas être absolument équivalente pour répondre à cette définition, mais peut couvrir des périodes plus ou moins égales comme c'est le cas en l'espèce. Le principe de la garde alternée figurant sous chiffre 2 du dispositif du jugement attaqué peut par conséquent être confirmé. Dans un souci de clarté et dans la mesure où ce chiffre 2 doit être légèrement modifié pour correspondre à la prise en charge actuelle de l'enfant, il sera entièrement annulé et reformulé. Il sera également précisé, ce qui ne figure pas dans le jugement de première instance, que l'enfant sera pris en charge, selon le principe de l'alternance, par chacun de ses parents durant le Jeûne genevois, l'Ascension et Pentecôte.</w:t>
      </w:r>
    </w:p>
    <w:p>
      <w:r>
        <w:rPr>
          <w:b/>
        </w:rPr>
        <w:t>E. 2.3</w:t>
      </w:r>
    </w:p>
    <w:p>
      <w:r>
        <w:t>Le Tribunal ayant omis de fixer le domicile légal de l'enfant, le jugement attaqué sera complété sur ce point. La prise en charge de l'enfant par sa mère est un peu plus importante que celle assumée par le père. De surcroît, la mère n'exerce, en l'état, aucune activité lucrative et recherche un emploi à 80%, de sorte qu'elle disposera quoiqu'il en soit, de plus de temps que le père pour s'occuper de la gestion des tâches administratives relatives à l'enfant. Pour ces motifs, le domicile légal du mineur A______ sera fixé chez B______.</w:t>
      </w:r>
    </w:p>
    <w:p>
      <w:r>
        <w:rPr>
          <w:b/>
        </w:rPr>
        <w:t>E. 3.1</w:t>
      </w:r>
    </w:p>
    <w:p>
      <w:r>
        <w:t>Les frais sont mis à la charge de la partie qui succombe (art. 106 al. 1 CPC).</w:t>
      </w:r>
    </w:p>
    <w:p>
      <w:r>
        <w:t>Le tribunal peut s'écarter des règles générales et répartir les frais selon sa libre appréciation notamment lorsque le litige relève du droit de la famille (art. 107 al. 1 let. c CPC).</w:t>
      </w:r>
    </w:p>
    <w:p>
      <w:r>
        <w:t>Si l'instance d'appel statue à nouveau, elle se prononce sur les frais de la première instance (art. 318 al. 3 CPC).</w:t>
      </w:r>
    </w:p>
    <w:p>
      <w:r>
        <w:t>- 10/12 -</w:t>
      </w:r>
    </w:p>
    <w:p>
      <w:r>
        <w:t>C/19629/2017</w:t>
      </w:r>
    </w:p>
    <w:p>
      <w:r>
        <w:rPr>
          <w:b/>
        </w:rPr>
        <w:t>E. 3.2</w:t>
      </w:r>
    </w:p>
    <w:p>
      <w:r>
        <w:t>La quotité des frais arrêtée par le Tribunal n'a pas été contestée et doit être confirmée, étant conforme au Règlement fixant le tarif des frais en matière civile (RTFMC). La répartition par moitié entre les parties est également conforme à l'art. 107 al. 1 let. c CPC; elle sera également confirmée.</w:t>
      </w:r>
    </w:p>
    <w:p>
      <w:r>
        <w:rPr>
          <w:b/>
        </w:rPr>
        <w:t>E. 3.3</w:t>
      </w:r>
    </w:p>
    <w:p>
      <w:r>
        <w:t>Les frais judiciaires de l'appel et de l'appel joint seront arrêtés à 1'600 fr.</w:t>
      </w:r>
    </w:p>
    <w:p>
      <w:r>
        <w:t>Aucune des parties n'ayant obtenu entièrement gain de cause et compte tenu de la nature familiale du litige, ces frais seront partagés par moitié entre les parties. Ils seront compensés partiellement avec l'avance en 800 fr. versée par l'intimé, qui reste acquise à l'Etat (art. 111 al. 1 CPC).</w:t>
      </w:r>
    </w:p>
    <w:p>
      <w:r>
        <w:t>La part de frais, en 800 fr., mise à la charge du mineur sera provisoirement assumée par l'Etat de Genève, vu le bénéfice de l'assistance judiciaire.</w:t>
      </w:r>
    </w:p>
    <w:p>
      <w:r>
        <w:t>Compte tenu de la nature familiale du litige, il ne sera pas alloué de dépens. * * * * *</w:t>
      </w:r>
    </w:p>
    <w:p>
      <w:r>
        <w:t>- 11/12 -</w:t>
      </w:r>
    </w:p>
    <w:p>
      <w:r>
        <w:t>C/19629/2017 PAR CES MOTIFS, La Chambre civile : A la forme : Déclare recevables l'appel et l'appel joint interjetés par A______ et C______ contre le jugement JTPI/9378/2019 rendu le 25 juin 2019 par le Tribunal de première instance dans la cause C/19629/2017-16. Au fond : Annule le chiffre 2 du dispositif du jugement attaqué et cela fait, statuant à nouveau: Octroie à B______ et à C______ une garde alternée sur le mineur A______, né le ______ 2014, laquelle s'organisera d'entente entre les parents et à défaut selon les modalités suivantes : - l'enfant sera pris en charge par C______ un week-end sur deux du vendredi à la sortie de l'école jusqu'au lundi matin retour en classe; lors de la semaine précédant ledit week-end, du mercredi en fin d'après-midi au jeudi matin retour en classe; lors de la semaine suivant ledit week-end, du mardi sortie de l'école au jeudi retour en classe; le reste du temps l'enfant sera pris en charge par B______; - les vacances scolaires de l'enfant seront partagées entre B______ et C______ d'accord entre eux et à défaut d'accord selon les modalités suivantes: les années paires, C______ prendra en charge le mineur pendant la semaine d'octobre, ainsi que pendant la première moitié des vacances de Noël, de Pâques et d'été, le solde des vacances étant réservé à B______; les années impaires, il prendra en charge l'enfant pendant les vacances de février ainsi que durant la seconde moitié de celles de Noël, de Pâques et d'été, le solde des vacances étant réservé à B______; - B______ et C______ prendront en charge le mineur, selon le principe de l'alternance, durant le Jeûne genevois, l'Ascension et Pentecôte. Dit que le domicile légal de l'enfant est fixé chez B______. Confirme pour le surplus le jugement attaqué. Déboute les parties de toutes autres conclusions. Sur les frais : Arrête les frais judiciaires d'appel et d'appel joint à 1'600 fr.</w:t>
      </w:r>
    </w:p>
    <w:p>
      <w:r>
        <w:t>- 12/12 -</w:t>
      </w:r>
    </w:p>
    <w:p>
      <w:r>
        <w:t>C/19629/2017 Les met à la charge des parties à concurrence de la moitié chacune. Les compense partiellement avec l'avance en 800 fr. versée par C______, celle-ci restant acquise à l'Etat de Genève. Dit que la part mise à la charge du mineur A______, en 800 fr., est provisoirement assumée par l'Etat de Genève, vu le bénéfice de l'assistance judiciaire.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