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ACJC/252/2018 vom 20. Oktober 2017</w:t>
      </w:r>
    </w:p>
    <w:p>
      <w:r>
        <w:t>GE Cour de justice, 2017-10-20, FR</w:t>
      </w:r>
    </w:p>
    <w:p>
      <w:r>
        <w:rPr>
          <w:b/>
        </w:rPr>
        <w:t xml:space="preserve">Quelle: </w:t>
      </w:r>
      <w:r>
        <w:t>https://mcp.opencaselaw.ch/entscheid/ge_gerichte_ACJC_252_2018</w:t>
      </w:r>
    </w:p>
    <w:p>
      <w:r>
        <w:t>FR: GE_GERICHTE ACJC/252/2018 du 20 octobre 2017</w:t>
      </w:r>
    </w:p>
    <w:p>
      <w:r>
        <w:t>IT: GE_GERICHTE ACJC/252/2018 del 20 ottobre 2017</w:t>
      </w:r>
    </w:p>
    <w:p>
      <w:pPr>
        <w:pStyle w:val="Heading2"/>
      </w:pPr>
      <w:r>
        <w:t>Erwägungen</w:t>
      </w:r>
    </w:p>
    <w:p>
      <w:r>
        <w:rPr>
          <w:b/>
        </w:rPr>
        <w:t>E. 1.1</w:t>
      </w:r>
    </w:p>
    <w:p>
      <w:r>
        <w:t>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w:t>
      </w:r>
    </w:p>
    <w:p>
      <w:r>
        <w:t>- 5/10 -</w:t>
      </w:r>
    </w:p>
    <w:p>
      <w:r>
        <w:t>C/12070/2017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recourant fait valoir en premier lieu que le Tribunal a violé la loi en prononçant la mainlevée définitive de l'opposition, alors que seule la mainlevée provisoire était requise. Ainsi que le recourant l'admet lui-même dans sa réplique, ce grief est devenu sans objet, puisque le Tribunal a procédé à la rectification de cette erreur le</w:t>
      </w:r>
    </w:p>
    <w:p>
      <w:r>
        <w:rPr>
          <w:b/>
        </w:rPr>
        <w:t>E. 3</w:t>
      </w:r>
    </w:p>
    <w:p>
      <w:r>
        <w:t>Dans un second moyen, le recourant reproche au Tribunal d'avoir procédé à une constatation manifestement inexacte des faits et d'avoir violé le droit en retenant que l'attestation du 25 juin 2014 constituait une reconnaissance de dette à hauteur de 2'604'954 fr. 20.</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140 III 456 consid. 2.2.1; 139 III 297 consid. 2.3.1; 130 III 87 consid. 3.1 et les références citées; JAEGER/WALDER/KULL/ KOTTMANN, Bundesgesetz über Schuldbetreibung und Konkurs, 4ème édition, 1997, n. 10 ad art. 82 LP). La reconnaissance de dette peut découler du rapprochement de plusieurs pièces, pour autant que les éléments nécessaires en résultent (ATF 139 III 297</w:t>
      </w:r>
    </w:p>
    <w:p>
      <w:r>
        <w:t>- 6/10 -</w:t>
      </w:r>
    </w:p>
    <w:p>
      <w:r>
        <w:t>C/12070/2017 consid. 2.3.1; 136 III 624 consid. 2; arrêt du Tribunal fédéral 5A_892/2015 du 16 février 2016 consid. 4.3.1).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ATF 142 III 720 consid. 4.1).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(ATF 142 III 720 consid. 4.1; 132 III 140 consid. 4.1.2; arrêt du Tribunal fédéral 5A_203/2017 du 11 septembre 2017 consid. 6.2).</w:t>
      </w:r>
    </w:p>
    <w:p>
      <w:r>
        <w:rPr>
          <w:b/>
        </w:rPr>
        <w:t>E. 3.2</w:t>
      </w:r>
    </w:p>
    <w:p>
      <w:r>
        <w:t>Pour déterminer l'objet et le contenu d'un contrat, le juge doit recourir en premier lieu à l'interprétation dite subjective, c'est-à-dire rechercher la réelle et commune intention des parties, le cas échéant sur la base d'indices (cf. art. 18 al. 1 CO).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Dans le cadre de l'interprétation objective, la jurisprudence actuelle n'attache plus une importance décisive au fait que les parties ont utilisé une expression juridique précise (arrêts du Tribunal fédéral 5A_849/2012 du 25 juin 2013 consid. 2.2.1; 4A_145/2012 du 19 septembre 2012 consid. 7.2 et la jurisprudence citée). Ce principe vaut également pour</w:t>
      </w:r>
    </w:p>
    <w:p>
      <w:r>
        <w:t>- 7/10 -</w:t>
      </w:r>
    </w:p>
    <w:p>
      <w:r>
        <w:t>C/12070/2017 distinguer le cautionnement (art. 492 ss CO), du porte-fort (art. 111 CO; ATF 125 III 305 consid. 2b) ou de la reprise cumulative de dette (art. 143 CO; ATF 129 III 702 consid. 2.4.1; arrêt du Tribunal fédéral 5A_849/2012 du 25 juin 2013 consid. 2.2.1).</w:t>
      </w:r>
    </w:p>
    <w:p>
      <w:r>
        <w:rPr>
          <w:b/>
        </w:rPr>
        <w:t>E. 3.3</w:t>
      </w:r>
    </w:p>
    <w:p>
      <w:r>
        <w:t>Selon la jurisprudence, 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L'engagement solidaire naît lorsque le garant déclare au créancier qu'il pourra être recherché au même titre et pour les mêmes prestations que le débiteur; ce dernier et le garant sont alors tenus solidairement selon l'art. 143 al. 1 CO (ATF 129 III 702 consid. 2.1).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w:t>
      </w:r>
    </w:p>
    <w:p>
      <w:r>
        <w:t>- 8/10 -</w:t>
      </w:r>
    </w:p>
    <w:p>
      <w:r>
        <w:t>C/12070/2017 commun (ATF 129 III 702 consid. 2.6; arrêt du Tribunal fédéral 4C.24/2007 du 26 avril 2007 consid. 5).</w:t>
      </w:r>
    </w:p>
    <w:p>
      <w:r>
        <w:rPr>
          <w:b/>
        </w:rPr>
        <w:t>E. 3.4</w:t>
      </w:r>
    </w:p>
    <w:p>
      <w:r>
        <w:t>En l'espèce, l'attestation du 25 juin 2014 fait état d'une créance à hauteur de 2'604'954 fr. 20 de C______ envers B______, "assortie d'une caution solidaire personnelle" fournie par le recourant, unique bénéficiaire économique de C______. A teneur de ce document, A______ et C______ se sont engagés solidairement à rembourser cette somme. Le recourant conteste sa qualité de débiteur solidaire de la somme de 2'604'954 fr. 20. Il fait valoir que, conformément aux termes clairs de l'attestation précitée, il s'était engagé à titre de caution au sens de l'art. 493 CO, et non en qualité de codébiteur solidaire. Il ressort cependant de la jurisprudence susmentionnée que l'engagement solidaire est admis, à l'exclusion du cautionnement, lorsque le garant a un intérêt direct et matériel dans l'affaire à conclure avec le débiteur et le créancier et que ce dernier a connaissance de cet intérêt. Tel est notamment le cas lorsque l'actionnaire et administrateur d'une société anonyme garantit le remboursement d'un crédit destiné aux opérations de cette société. Cette hypothèse est précisément réalisée in casu puisque le recourant est l'unique gérant et bénéficiaire économique de C______. Ce point n'est pas contesté par le recourant. Lors de la signature des contrats des 27 octobre 2005 et 23 juin 2008, le recourant avait donc un intérêt personnel et matériel à ce que C______ obtienne un financement de la part de l'intimée; il n'intercédait pas pour un tiers débiteur, mais agissait dans le cadre de sa propre activité commerciale. Rien ne permet de penser que le recourant n'a pas compris la portée de cet engagement. La volonté de s'engager personnellement résulte du reste des contrats des 27 octobre 2005 et 23 juin 2008, d'où il ressort que les prêts étaient notamment garantis par le recourant lui-même (cf. ch. 6 du contrat du 27 octobre 2005 et ch.</w:t>
      </w:r>
    </w:p>
    <w:p>
      <w:r>
        <w:rPr>
          <w:b/>
        </w:rPr>
        <w:t>E. 6</w:t>
      </w:r>
    </w:p>
    <w:p>
      <w:r>
        <w:t>du contrat du 23 juin 2008). L'engagement personnel du recourant ressort également de la déclaration de renonciation à invoquer la prescription du 20 octobre 2015, que l'intéressé a signé en son nom propre et pour le compte de C______, et qui concerne toute prétention en relation avec la dette dont ils sont codébiteurs solidaires envers B______. Ce document confirme, en outre, les termes de l'attestation du 25 juin 2014, selon lesquels C______ et le recourant étaient codébiteurs solidaires envers B______ de la somme de 2'604'954 fr. 20. Il résulte de ce qui précède que l'engagement signé par le recourant en juin 2014 n'est pas soumis aux règles du cautionnement. Cet engagement correspond bien à la définition d'une reconnaissance de dette au sens de l'art. 82 LP. En effet, il ressort de l'attestation que le recourant s'est engagé à payer la dette de 2'604'954 fr. 20 de C______ envers B______. Ce montant était exigible au 11 octobre 2016, date de la notification du commandement de payer. Dans ces</w:t>
      </w:r>
    </w:p>
    <w:p>
      <w:r>
        <w:t>- 9/10 -</w:t>
      </w:r>
    </w:p>
    <w:p>
      <w:r>
        <w:t>C/12070/2017 conditions, il n'est pas nécessaire d'examiner si les autres documents produits par l'intimée valent aussi titres de mainlevée provisoire. Partant, les griefs du recourant, tendant à faire constater que ces documents ne peuvent pas être interprétés comme des reconnaissances de dette de sa part, ne seront pas examinés. Il en va notamment ainsi des griefs portant sur la qualification juridique des contrats des 27 octobre 2005 et 23 juin 2008 et leur opposabilité au recourant. Enfin, le recourant n'allègue pas qu'un paiement devant être imputé sur le montant de 2'604'954 fr. 20 aurait été effectué depuis le 25 juin 2014. Les différents ordres de paiement versés à la procédure sont tous antérieurs à la date de l'attestation. Il en va de même du courriel du 7 juin 2012 par lequel le recourant indique avoir viré un montant de 500'000 fr. "sur le compte indiqué par D______". Les allégations du recourant en relation avec ces différentes pièces sont ainsi dénuées de pertinence. Au vu des motifs qui précèdent, c'est à bon droit que le Tribunal a prononcé la mainlevée provisoire de l'opposition à concurrence de 2'604'954 fr. 20 avec intérêts à 17% l'an dès le 1er août 2014. Le recours sera en conséquence rejeté. 4. Le recourant, qui succombe, sera condamné aux frais du recours (art. 106 al. 1 CPC). Les frais judiciaires seront arrêtés à 2'250 fr. (art. 48 et 61 OELP), comprenant ceux de l'arrêt de la Cour du 21 novembre 2017. Ils seront compensés avec l'avance de même montant fournie par le recourant, qui reste acquise à l'Etat (art. 111 al. 1 CPC). Le recourant sera par ailleurs condamné à verser à l'intimée, assistée d'un conseil, la somme de 5'000 fr. à titre de dépens de recours (art. 105 al. 2 CPC; art. 85, 89 et 90 RTFMC), débours et TVA compris (art. 25 et 26 LaCC). * * * * *</w:t>
      </w:r>
    </w:p>
    <w:p>
      <w:r>
        <w:t>- 10/10 -</w:t>
      </w:r>
    </w:p>
    <w:p>
      <w:r>
        <w:t>C/12070/2017 PAR CES MOTIFS, La Chambre civile : A la forme : Déclare recevable le recours interjeté le 3 novembre 2017 par A______ contre le jugement JTPI/13500/2017 rendu le 20 octobre 2017 par le Tribunal de première instance dans la cause C/12070/2017-22 SML. Au fond : Le rejette. Déboute les parties de toutes autres conclusions. Sur les frais : Arrête les frais judiciaires à 2'250 fr., les met à la charge de A______ et les compense avec l'avance de frais effectuée par celui-ci, qui reste acquise à l'Etat de Genève. Condamne A______ à payer à B______ la somme de 5'000 fr. à titre de dépens.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