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ACJC/251/2024 vom 28. Februar 2024</w:t>
      </w:r>
    </w:p>
    <w:p>
      <w:r>
        <w:t>GE Cour de justice, 2024-02-28, FR</w:t>
      </w:r>
    </w:p>
    <w:p>
      <w:r>
        <w:rPr>
          <w:b/>
        </w:rPr>
        <w:t xml:space="preserve">Quelle: </w:t>
      </w:r>
      <w:r>
        <w:t>https://mcp.opencaselaw.ch/entscheid/ge_gerichte_ACJC_251_2024</w:t>
      </w:r>
    </w:p>
    <w:p>
      <w:r>
        <w:t>FR: GE_GERICHTE ACJC/251/2024 du 28 février 2024</w:t>
      </w:r>
    </w:p>
    <w:p>
      <w:r>
        <w:t>IT: GE_GERICHTE ACJC/251/2024 del 28 febbraio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l'appel porte exclusivement sur le montant des contributions à l'entretien des enfants, de sorte qu'il est de nature pécuniaire et les conclusions restées litigieuses devant le premier juge excèdent 10'000 fr. (art. 92 al. 2 CPC).</w:t>
      </w:r>
    </w:p>
    <w:p>
      <w:r>
        <w:rPr>
          <w:b/>
        </w:rPr>
        <w:t>E. 1.2</w:t>
      </w:r>
    </w:p>
    <w:p>
      <w:r>
        <w:t>L'appel a été interjeté dans le délai de trente jours (art. 145 al. 1 let. b et 311 al. 1 CPC) et suivant la forme prescrite par la loi (art. 130, 131, 311 al. 1 CPC). Il est ainsi recevable.</w:t>
      </w:r>
    </w:p>
    <w:p>
      <w:r>
        <w:t>- 8/17 -</w:t>
      </w:r>
    </w:p>
    <w:p>
      <w:r>
        <w:t>C/16664/2022</w:t>
      </w:r>
    </w:p>
    <w:p>
      <w:r>
        <w:rPr>
          <w:b/>
        </w:rPr>
        <w:t>E. 1.3</w:t>
      </w:r>
    </w:p>
    <w:p>
      <w:r>
        <w:t>La Cour revoit la cause en fait et en droit avec un plein pouvoir d'examen (art. 310 CPC).</w:t>
      </w:r>
    </w:p>
    <w:p>
      <w:r>
        <w:rPr>
          <w:b/>
        </w:rPr>
        <w:t>E. 1.4</w:t>
      </w:r>
    </w:p>
    <w:p>
      <w:r>
        <w:t>La présente cause est soumise aux maximes d'office et inquisitoire illimitée en tant qu'elle concerne des enfants mineurs (art. 296 al. 1 et al. 3 CPC), de sorte que la Cour n'est liée ni par les conclusions des parties sur ce point (art. 296 al. 3 CPC), ni par l'interdiction de la reformatio in pejus (ATF 129 III 417 consid. 2.1.1; arrêt du Tribunal fédéral 5A_524/2017 du 9 octobre 2017 consid. 3.1).</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 La phase des délibérations débute dès la clôture des débats, s'il y en a eu, respectivement dès que l'autorité d'appel a communiqué aux parties que la cause a été gardée à juger (ATF 142 III 413 consid. 2.2.3-2.2.6; arrêt 5A_456/2016 précité consid. 4.1.2 et les références).</w:t>
      </w:r>
    </w:p>
    <w:p>
      <w:r>
        <w:rPr>
          <w:b/>
        </w:rPr>
        <w:t>E. 2.2</w:t>
      </w:r>
    </w:p>
    <w:p>
      <w:r>
        <w:t>En l'espèce, les pièces nouvelles produites par les parties, y compris celles accompagnant la réplique de l'appelante, déposées avant que la cause ne soit gardée à juger, sont susceptibles d'influencer la décision qui porte sur le montant de la contribution à l'entretien de leurs enfants mineurs, si bien qu'elles sont recevables, de même que les faits auxquels elles se rapportent.</w:t>
      </w:r>
    </w:p>
    <w:p>
      <w:r>
        <w:rPr>
          <w:b/>
        </w:rPr>
        <w:t>E. 3</w:t>
      </w:r>
    </w:p>
    <w:p>
      <w:r>
        <w:t>Le Tribunal a considéré que la situation des parties présentait des faits nouveaux importants et durables en raison de la modification dans la garde des enfants des parties et de la naissance de nouveaux enfants. Il a retenu que l'appelante était en mesure de participer à l'entretien des enfants des parties, considérant qu'elle était capable de travailler à temps plein. Il a, en effet, jugé que les certificats médicaux qu'elle avait produits ne précisaient pas les causes de l'incapacité de travail à 50% dont elle se prévalait, se limitant à constater que son état de santé nécessitait un arrêt. Il lui a imputé un revenu hypothétique de 4'951 fr. brut par mois dans son domaine d'activité, soit 4'200 fr. net., dès le 1er octobre 2023 pour tenir compte de la période estivale lors de laquelle il était plus difficile de trouver un emploi.</w:t>
      </w:r>
    </w:p>
    <w:p>
      <w:r>
        <w:t>- 9/17 -</w:t>
      </w:r>
    </w:p>
    <w:p>
      <w:r>
        <w:t>C/16664/2022 L'appelante conteste être en mesure de contribuer à l'entretien de ses enfants. Elle reproche au premier juge de lui avoir imputé un revenu hypothétique fondé sur une capacité de travail à 100%. Elle soutient que les certificats médicaux produits ainsi que sa demande de rente AI indiquent les causes de son arrêt maladie et démontrent que son incapacité de travailler à 50% est durable. Elle allègue encore avoir entrepris tous les efforts possibles pour augmenter ses revenus, de sorte qu'il n'y avait pas lieu de lui imputer un revenu hypothétique, même à 50%. Elle fait encore grief au Tribunal d'avoir retenu un montant insuffisant au titre de son loyer hypothétique et d'avoir réparti son disponible de manière arbitraire, sans tenir compte des besoins de L______. 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6.1). Le moment déterminant pour apprécier si des circonstances nouvelles se sont produites est la date du dépôt de la demande de modification du jugement de divorce (ATF 137 III 604 consid. 4.1.1; arrêt du Tribunal fédéral 5A_230/2019 précité). Une modification notable du droit de visite ou de la prise en charge par le parent gardien peut répondre aux conditions posées par l'art. 286 al. 1 CC (MEIER/STETTLER, Droit de la filiation, 6ème éd. 2019, n. 1450, p. 958-959). 3.1.2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w:t>
      </w:r>
    </w:p>
    <w:p>
      <w:r>
        <w:t>- 10/17 -</w:t>
      </w:r>
    </w:p>
    <w:p>
      <w:r>
        <w:t>C/16664/2022 nécessité de modifier la contribution d'entretien dans le cas concret (ATF 137 III 604 consid. 4.1.1; arrêt du Tribunal fédéral 5A_230/2019 précité).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5A_230/2019 précité). 3.1.3 Le Tribunal fédéral a posé, pour toute la Suisse, une méthode de calcul uniforme des contributions d'entretien du droit de la famille (ATF 147 III 265, SJ 2021 I 3016; 147 III 293; 147 III 301).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Seules les charges effectives, dont le débirentier ou le crédirentier s'acquittent réellement doivent être prises en compte (ATF 140 III 337 consid. 4.2.3; arrêt du Tribunal fédéral 5A_405/2019 du 24 février 2020 consid. 5.2). Selon la jurisprudence du Tribunal fédéral, il n'est toutefois pas arbitraire de tenir compte d'un loyer hypothétique pour une durée transitoire, le temps que la partie concernée trouve un logement (arrêts du Tribunal fédéral 5A_405/2019 du 24 février 2020 consid.5.3 ; 5A_845/2012 du 2 octobre 2013 consid. 3.1.3). 3.1.4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5A_645/2020 du 19 mai 2021 consid. 5.2.1).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w:t>
      </w:r>
    </w:p>
    <w:p>
      <w:r>
        <w:t>- 11/17 -</w:t>
      </w:r>
    </w:p>
    <w:p>
      <w:r>
        <w:t>C/16664/2022 Lorsque le juge entend tenir compte d'un revenu hypothétique, il doit d'abord déterminer si l'on peut raisonnablement exiger d'une personne qu'elle exerce une activité lucrative ou augmente celle-ci, eu égard, notamment, à sa formation, à son âge et à son état de santé. Il doit ensuite établir si la personne a la possibilité effective d'exercer l'activité ainsi déterminée et quel revenu elle peut en obtenir, compte tenu des circonstances subjectives susmentionnées et du marché du travail (ATF 143 III 233 consid. 3.2; 137 III 102 consid. 4.2.2.2; arrêt du Tribunal fédéral 5A_645/2020 précité consid. 5.2.1). On est en principe en droit d'attendre du parent se consacrant à la prise en charge des enfants qu'il recommence à travailler à 50% dès l'entrée du plus jeune enfant à l'école obligatoire, à 80% à partir du moment où celui-ci débute le degré secondaire et à 100% dès la fin de sa seizième année (ATF 144 III 481 consid. 4.7.6). Si le juge entend exiger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114 II 13 consid. 5; arrêts 5A_444/2021 du 9 mars 2022 consid. 3.1; 5A_192/2021 du 18 novembre 2021 consid. 7.1.1 et les références). 3.1.5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(arrêts du Tribunal fédéral 5A_1040/2020 du 8 juin 2021 consid. 3.1.2; 5A_836/2015 du 8 avril 2016 consid. 5.2).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125 V 351 consid. 3a; arrêt du Tribunal fédéral 5A_799/2021 du 12 avril 2022 consid. 3.2.2 et les références). Une attestation médicale qui relève l'existence d'une incapacité de travail sans autres explications n'a ainsi pas une grande force probante (arrêts du Tribunal fédéral 5A_799/2021 du 12 avril 2022 consid. 3.2.2; 5A_584/2022 du 18 janvier 2023 consid. 3.1.2). 3.1.6 La "fibromyalgie" est une affection rhumatismale reconnue par l'Organisation mondiale de la santé. Elle est caractérisée par une douleur généralisée et chronique du système ostéo-articulaire et s'accompagne généralement d'une constellation de perturbations essentiellement subjectives (tels que fatigue, troubles du sommeil, sentiment de détresse, céphalées,</w:t>
      </w:r>
    </w:p>
    <w:p>
      <w:r>
        <w:t>- 12/17 -</w:t>
      </w:r>
    </w:p>
    <w:p>
      <w:r>
        <w:t>C/16664/2022 manifestations digestives et urinaires d'allure fonctionnelle) (ATF 132 V 65 consid. 3.2). En ce qui concerne la question de l'appréciation de la capacité de travail d'une personne atteinte de fibromyalgie, il faut admettre que l'on se trouve dans une situation comparable à celle de la personne souffrant d'un trouble somatoforme douloureux. Ces deux atteintes à la santé présentent en effet des points communs. Tout d'abord, on peut constater que leurs manifestations cliniques sont pour l'essentiel similaires (plaintes douloureuses diffuses).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(consid. 4.1). Une expertise psychiatrique est, en principe, nécessaire quand il s'agit de se prononcer sur l'incapacité de travail que les troubles somatoformes douloureux sont susceptibles d'entraîner (consid. 4.3 et les références citées). 3.2.1 A titre liminaire, il y a lieu de relever que les parties ne contestent pas, à juste titre, que la modification dans l'exercice de la garde de D______ et E______ et la naissance des nouveaux enfants de l'appelante et de l'intimé constituent des faits nouveaux importants et durables. Autre est la question de savoir si l'appelante est en mesure de contribuer à l'entretien de ses enfants, comme l'a retenu le premier juge. 3.2.2 En l'espèce, s'agissant d'abord des griefs de l'appelante en lien avec son l'incapacité de travail et le revenu hypothétique fixée en première instance, il y a lieu de relever qu'il ressort des certificats médicaux qu'elle a produits qu'elle est régulièrement suivie par le Dr. Q______, médecin spécialiste en psychiatrie et psychothérapie, et que son état de santé médico-psychologique a nécessité une prolongation de son arrêt maladie à 50% - dont elle allègue qu'il a débuté en mars 2021 – pour la période allant du 1er janvier 2022 au 31 janvier 2023. Dans le certificat médical du 18 novembre 2022, le médecin précité a, à nouveau, indiqué que l'appelante était atteinte dans sa santé au niveau médico- psychologique et précisé qu'il s'agissait d'une longue maladie nécessitant qu'elle s'arrête de travailler sur le long terme. Le médecin a ajouté que l'état de santé de l'appelante l'avait conduite à déposer une demande de rente AI, que celle-ci a produite.</w:t>
      </w:r>
    </w:p>
    <w:p>
      <w:r>
        <w:t>- 13/17 -</w:t>
      </w:r>
    </w:p>
    <w:p>
      <w:r>
        <w:t>C/16664/2022 Elle y indique être atteinte de douleurs, fatigue et dépression chroniques. A cet égard, le fait que la demande AI ait été déposée le 17 novembre 2022, soit environ un an et demi après le début de ses symptômes n'est pas de nature à en remettre en cause l'authenticité, contrairement à ce que l'intimé soutient. En effet, cette durée n'apparaît pas particulièrement longue eu égard à la LAI, selon laquelle l'assuré doit avoir présenté une incapacité de travail durant une année pour avoir droit à une rente. De plus, l'écoulement d'un certain délai permet de poser un diagnostic et d'appréhender l'évolution future de la maladie. Dans un rapport médical de juin 2023 produit devant la Cour, le Dr. Q______ a encore précisé que l'appelante était en incapacité de travail à temps partiel en raison d'une fibromyalgie. L'appelante souffrait d'un ralentissement moteur, de douleurs hyperalgiques chroniques, d'une fatigue intense, d'une fatigabilité permanente, de troubles cognitifs avec des difficultés de concentration et du maintien de l'attention, de l'irritabilité et une intolérance au stress. Cet état clinique avait causé une dépression sévère chez l'appelante, qui avait perdu tout espoir de poursuivre une vie normale. Le traitement antidépresseur dont elle avait bénéficié n'avait pas été efficace. Selon le médecin, toutes ces atteintes étaient invalidantes et impactaient négativement la capacité de travail de l'appelante, qui n'était en mesure de travailler qu'à mi-temps depuis septembre 2021. Le Dr. Q______ a encore indiqué que l'évolution de l'état clinique de l'appelante était stationnaire et insuffisante. Son pronostic pour une amélioration de la capacité de travail de l'appelante demeurait réservé. Ainsi, contrairement à ce que soutient l'intimé, il ressort des documents médicaux versés au dossier que le médecin de l'appelante a clairement expliqué les troubles dont était atteinte sa patiente ainsi que leur répercussion sur sa capacité de travail. Il n'y a pas lieu de remettre en cause ces éléments, dès lors que les symptômes décrits correspondent à ceux listés par la jurisprudence et que le médecin de l'appelante est psychiatre, de sorte qu'elle est en mesure de se prononcer sur l'incapacité de travail que la fibromyalgie est susceptible d'entraîner. De plus, le fait que tous les documents médicaux produits aient été établis par le même médecin n'est pas étrange dès lors que ce médecin la suit régulièrement. Qui plus est, cela n'est pas pertinent pour apprécier l'incapacité de travail alléguée, contrairement à ce que soutient l'intimé. L'ensemble de ces circonstances permettent de déduire que l'atteinte à la santé de l'appelante n'est pas de nature passagère, de sorte que c'est à tort que le premier juge a retenu une capacité de travail à 100%. En revanche, il y a lieu d'imputer à l'appelante un revenu hypothétique à hauteur de 50%, contrairement à ce que cette dernière soutient. En effet, les rapports médicaux produits attestent que son état de santé lui permet de travailler à mi- temps. Ce taux est aussi en adéquation avec la future prise en charge de L______,</w:t>
      </w:r>
    </w:p>
    <w:p>
      <w:r>
        <w:t>- 14/17 -</w:t>
      </w:r>
    </w:p>
    <w:p>
      <w:r>
        <w:t>C/16664/2022 qui est à l'école obligatoire. En outre, l'appelante a 34 ans, est détentrice d'un CFC d'employée de commerce et de cinq ans d'expérience dans ce domaine, étant relevé que son dernier emploi date d'il y a seulement deux ans et demi, de sorte qu'elle n'a pas été éloignée de manière prolongée du marché de l'emploi. Elle parle aussi plusieurs langues ce qui constitue un atout dans de nombreux emplois. Bien qu'elle ait justifié de recherches d'emploi en 2022 lorsqu'elle était au chômage, elle n'a pas produit de recherches d'emploi pour l'année 2023, excepté pour le mois d'août. Elle n'a ainsi pas prouvé avoir fait tous les efforts que l'on peut exiger d'elle pour remplir ses obligations, étant encore rappelé que les exigences sont élevées à son égard du fait des responsabilités financières qu'elle a envers ses trois enfants mineurs. Ni l'appelante, ni l'intimé n'ont formulé de grief à l'encontre du montant de 4'200 fr. net retenu par le premier juge à titre de revenu hypothétique sur la base du Salarium 2020 pour une employée de bureau sans position de cadre au bénéfice d'un CFC, travaillant 40h par semaine dans la Région lémanique. Ce montant sera donc maintenu et divisé par deux, pour tenir compte du taux de travail partiel appliqué à l'appelante. C'est ainsi un revenu hypothétique de 2'100 fr. net par mois qui lui sera imputé. Enfin, l'appelante n'a pas non plus critiqué le dies a quo fixé au 1er octobre 2023 par le premier juge pour la reprise d'une activité lucrative, de sorte que ce délai sera confirmé. 3.2.3 Compte tenu de ce qui précède, il y a lieu d'examiner la capacité contributive de l'appelante. En l'occurrence, le Tribunal a retenu des charges mensuelles incompressibles de 3'005 fr. 05 pour l'appelante, qui n'ont pas été contestées en appel, sauf en ce qui concerne le montant du loyer hypothétique fixé à 1'340 fr. par mois, que l'appelante souhaite voir augmenter. Cela étant, la question de l'augmentation du montant dudit loyer hypothétique peut souffrir de rester indécise, étant encore relevé qu'aucune des parties ne critique le principe de sa prise en compte. Le budget de l'appelante présente, en effet, désormais un déficit de 905 fr. 50, compte tenu du revenu hypothétique net de 2'100 fr. par mois et des charges de 3'005 fr. 05 fixées par le Tribunal, de sorte que sa situation financière – avec le loyer hypothétique fixé par le premier juge – ne lui permet en l'état pas de participer à l'entretien de D______ et E______. Il convient donc de supprimer les contributions d'entretien fixées en faveur de ceux-ci par le Tribunal. Le chiffre 2 du dispositif du jugement entrepris sera annulé et réformé dans le sens de ce qui précède.</w:t>
      </w:r>
    </w:p>
    <w:p>
      <w:r>
        <w:t>- 15/17 -</w:t>
      </w:r>
    </w:p>
    <w:p>
      <w:r>
        <w:t>C/16664/2022 Au vu de ce qui précède, il n'est pas nécessaire d'examiner les autres griefs soulevés par l'appelante.</w:t>
      </w:r>
    </w:p>
    <w:p>
      <w:r>
        <w:rPr>
          <w:b/>
        </w:rPr>
        <w:t>E. 4.1</w:t>
      </w:r>
    </w:p>
    <w:p>
      <w:r>
        <w:t>Les frais - qui comprennent les frais judiciaires et les dépens (art. 95 al. 1 CPC) - sont mis à la charge de la partie qui succombe (art. 106 al. 1 1ère phrase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4.2</w:t>
      </w:r>
    </w:p>
    <w:p>
      <w:r>
        <w:t>En l'espèce, l'annulation partielle du jugement entrepris ne commande pas de revoir la décision du Tribunal de répartir les frais judiciaires par moitié et de compenser les dépens. Cette décision est conforme à la loi (art. 107 al. 1 let. c CPC) et n'a fait l'objet d'aucun grief motivé devant la Cour, de sorte qu'elle sera confirmée.</w:t>
      </w:r>
    </w:p>
    <w:p>
      <w:r>
        <w:rPr>
          <w:b/>
        </w:rPr>
        <w:t>E. 4.3</w:t>
      </w:r>
    </w:p>
    <w:p>
      <w:r>
        <w:t>Les frais judiciaires d'appel seront arrêtés à 800 fr. (art. 5, 30 et 35 RTFMC). Compte tenu de la nature familiale du litige, ces frais seront répartis à parts égales entre les parties, soit 400 fr. à charge de chacune (art. 107 al. 1 let. c CPC). L'appelante étant au bénéfice de l'assistance judiciaire, sa part des frais sera provisoirement supportée par l'Etat de Genève, qui pourra en demander le remboursement ultérieurement (art. 123 CPC et 19 RAJ). L'intimé sera condamné à verser le montant de 400 fr. à l'Etat de Genève. Pour les mêmes motifs, chaque partie supportera ses propres dépens d'appel. * * * * *</w:t>
      </w:r>
    </w:p>
    <w:p>
      <w:r>
        <w:t>- 16/17 -</w:t>
      </w:r>
    </w:p>
    <w:p>
      <w:r>
        <w:t>C/16664/2022 PAR CES MOTIFS, La Chambre civile : A la forme : Déclare recevable l'appel interjeté le 29 août 2023 par A______ contre le jugement JTPI/7434/2023 rendu le 23 juin 2023 par le Tribunal de première instance dans la cause C/16664/2022. Au fond : Annule le chiffre 2 du dispositif du jugement attaqué et, statuant à nouveau : Dit qu'aucune contribution n'est due en l'état par A______ pour l'entretien des mineurs D______ et E______. Confirme le jugement entrepris pour le surplus. Déboute les parties de toutes autres conclusions. Sur les frais : Arrête les frais judiciaires d'appel à 800 fr. et les met à charge des parties à raison d'une moitié chacune. Dit que les frais judiciaires d'appel à charge de A______ sont provisoirement supportés par l'Etat de Genève. Condamne C______ à verser 400 fr. à l'Etat de Genève, soit pour lui les Services financiers du Pouvoir judiciaire. Dit que chaque partie supporte ses propres dépens d'appel. Siégeant : Monsieur Laurent RIEBEN, président; Monsieur Patrick CHENAUX, Madame Fabienne GEISINGER-MARIETHOZ, juges; Madame Sophie MARTINEZ, greffière.</w:t>
      </w:r>
    </w:p>
    <w:p>
      <w:r>
        <w:t>- 17/17 -</w:t>
      </w:r>
    </w:p>
    <w:p>
      <w:r>
        <w:t>C/16664/2022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