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ACJC/251/2022 vom 22. Februar 2022</w:t>
      </w:r>
    </w:p>
    <w:p>
      <w:r>
        <w:t>GE Cour de justice, 2022-02-22, FR</w:t>
      </w:r>
    </w:p>
    <w:p>
      <w:r>
        <w:rPr>
          <w:b/>
        </w:rPr>
        <w:t xml:space="preserve">Quelle: </w:t>
      </w:r>
      <w:r>
        <w:t>https://mcp.opencaselaw.ch/entscheid/ge_gerichte_ACJC_251_2022</w:t>
      </w:r>
    </w:p>
    <w:p>
      <w:r>
        <w:t>FR: GE_GERICHTE ACJC/251/2022 du 22 février 2022</w:t>
      </w:r>
    </w:p>
    <w:p>
      <w:r>
        <w:t>IT: GE_GERICHTE ACJC/251/2022 del 22 febbraio 2022</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devant l'autorité inférieure, est supérieure à 10'000 fr. (art. 308 al. 1 let. a et al. 2 CPC).</w:t>
      </w:r>
    </w:p>
    <w:p>
      <w:r>
        <w:t>En l'espèce, la cause peut être qualifiée de non pécuniaire dans son ensemble, puisqu'elle porte tant sur le sort de la garde de l'enfant C______ que sur le montant de son entretien convenable et sur sa prise en charge. En tout état de cause, la valeur litigieuse, calculée conformément à l'art. 92 al. 1 CPC, relative à l'entretien convenable de C______ est supérieure à 10'000 fr. La voie de l'appel est ainsi ouverte.</w:t>
      </w:r>
    </w:p>
    <w:p>
      <w:r>
        <w:t>- 6/14 -</w:t>
      </w:r>
    </w:p>
    <w:p>
      <w:r>
        <w:t>C/10606/2021</w:t>
      </w:r>
    </w:p>
    <w:p>
      <w:r>
        <w:rPr>
          <w:b/>
        </w:rPr>
        <w:t>E. 1.2</w:t>
      </w:r>
    </w:p>
    <w:p>
      <w:r>
        <w:t>Déposé en temps utile et dans la forme prescrite par la loi (art. 130, 131, 311 al. 1 et 314 al. 1 CPC), à l'encontre d'une décision rendue sur mesures provisionnelles au sens de l'art. 308 al. 1 let. b CPC, l'appel est recevable.</w:t>
      </w:r>
    </w:p>
    <w:p>
      <w:r>
        <w:rPr>
          <w:b/>
        </w:rPr>
        <w:t>E. 1.3</w:t>
      </w:r>
    </w:p>
    <w:p>
      <w:r>
        <w:t>Les maximes d'office et inquisitoire illimitée sont applicables dans la mesure où la procédure concerne un enfant mineur (art. 55 al. 2, 58 al. 2 et 296 al. 3 CPC; ATF 128 III 411 consid. 3.2.2).</w:t>
      </w:r>
    </w:p>
    <w:p>
      <w:r>
        <w:rPr>
          <w:b/>
        </w:rPr>
        <w:t>E. 1.4</w:t>
      </w:r>
    </w:p>
    <w:p>
      <w:r>
        <w:t>La Cour revoit la cause en fait et en droit avec un plein pouvoir d'examen (art. 310 CPC).</w:t>
      </w:r>
    </w:p>
    <w:p>
      <w:r>
        <w:t>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139 III 86 consid 4.2; 131 III 473 consid. 2.3; 127 III 474 consid. 2b/bb, in JT 2002 I 352; arrêt du Tribunal fédéral 5A_12/2013 du 8 mars 2013 consid. 2.2).</w:t>
      </w:r>
    </w:p>
    <w:p>
      <w:r>
        <w:rPr>
          <w:b/>
        </w:rPr>
        <w:t>E. 2</w:t>
      </w:r>
    </w:p>
    <w:p>
      <w:r>
        <w:t>L'appelant allègue des faits nouveaux et produit des pièces nouvelles devant la Cour.</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Toutefois, lorsque le juge est saisi de questions relatives aux enfants dans les affaires de droit de la famille, les parties peuvent présenter des nova en appel même si les conditions de l'art. 317 al. 1 CPC ne sont pas réunies, eu égard à la maxime inquisitoire illimitée (ATF 144 III 349 consid. 4.2.1).</w:t>
      </w:r>
    </w:p>
    <w:p>
      <w:r>
        <w:rPr>
          <w:b/>
        </w:rPr>
        <w:t>E. 2.2</w:t>
      </w:r>
    </w:p>
    <w:p>
      <w:r>
        <w:t>En l'espèce, les allégations et pièces nouvelles apportées par l'appelant sont pertinentes dans le cadre l'attribution de la garde de C______ ainsi que de la fixation de son entretien convenable et de sa prise en charge. Elles sont par conséquent toutes recevables.</w:t>
      </w:r>
    </w:p>
    <w:p>
      <w:r>
        <w:rPr>
          <w:b/>
        </w:rPr>
        <w:t>E. 3</w:t>
      </w:r>
    </w:p>
    <w:p>
      <w:r>
        <w:t>Le recourant fait grief au Tribunal d'avoir à tort déclaré irrecevable sa "réplique spontanée" du 16 août 2021.</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d'avoir</w:t>
      </w:r>
    </w:p>
    <w:p>
      <w:r>
        <w:t>- 7/14 -</w:t>
      </w:r>
    </w:p>
    <w:p>
      <w:r>
        <w:t>C/10606/2021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w:t>
      </w:r>
    </w:p>
    <w:p>
      <w:r>
        <w:t>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p. 192 et les références; arrêts du Tribunal fédéral 5A_750/2016 du 15 15 novembre 2016 consid. 2.1;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146 III 97 consid. 3.4.1; 142 III 48 consid. 4.1.1; 138 I 484 consid. 2.4). Selon la jurisprudence, le délai d'attente sur lequel doit compter le tribunal ne saurait, en règle générale, être inférieur à dix jours (arrêts du Tribunal fédéral 9C_345/2021 du 11 août 2021 consid. 3.1; 5A_750/2016 précité, ibid; 5A_1022/2015 du 29 avril 2016 consid. 3.2.2 et les références; 5D_81/2015 précité consid. 2.3.2 et 2.4.2 et les références), respectivement supérieur à celui pour recourir (en matière de poursuites arrêt du Tribunal fédéral 5A_777/2011 du</w:t>
      </w:r>
    </w:p>
    <w:p>
      <w:r>
        <w:rPr>
          <w:b/>
        </w:rPr>
        <w:t>E. 3.2</w:t>
      </w:r>
    </w:p>
    <w:p>
      <w:r>
        <w:t>En l'espèce, le juge de première instance a considéré que les déterminations de l'appelant du 16 août 2021 étaient irrecevables en raison de leur production postérieure au délai de 10 jours, fixé comme règle générale.</w:t>
      </w:r>
    </w:p>
    <w:p>
      <w:r>
        <w:t>L'écriture responsive de l'intimée a été notifiée à l'appelant le 4 août 2021, de sorte que le délai de réplique était, en prenant en compte le délai de 10 jours précité, au 14 août 2021, soit un samedi. Dès lors que l'appelant a déposé ses déterminations au Tribunal le lundi 16 août 2021, celles-ci sont recevables. L'appel se révèle fondé sur ce point.</w:t>
      </w:r>
    </w:p>
    <w:p>
      <w:r>
        <w:rPr>
          <w:b/>
        </w:rPr>
        <w:t>E. 3.3</w:t>
      </w:r>
    </w:p>
    <w:p>
      <w:r>
        <w:t>Le chiffre 1 du dispositif de l'ordonnance entreprise sera par conséquent annulé. 4. L'appelant reproche ensuite au Tribunal d'avoir rendu son ordonnance sans entendre préalablement les parties.</w:t>
      </w:r>
    </w:p>
    <w:p>
      <w:r>
        <w:t>4.1 Les mesures protectrices de l'union conjugale étant soumises à la procédure sommaire (cf. consid. 1.4), sous réserve des art. 272 et 273 CPC, le Tribunal établit les faits d'office (art. 272 CPC). Il tient une audience. Il ne peut y renoncer que s’il résulte des allégués des parties que l’état de fait est clair ou incontesté (art. 273 al. 1 CPC). Les parties comparaissent personnellement (art. 273 al. 2 CPC). Par ailleurs, dès lors qu'il n'y a pas de procédure de conciliation préalable séparée devant l'autorité de conciliation, le juge des mesures protectrices saisi doit lui- même procéder à la conciliation des parties et tenter de trouver un accord entre elles (art. 273 al. 3 CPC).</w:t>
      </w:r>
    </w:p>
    <w:p>
      <w:r>
        <w:t>- 9/14 -</w:t>
      </w:r>
    </w:p>
    <w:p>
      <w:r>
        <w:t>C/10606/2021 L'art. 273 al. 1 CPC est une lex specialis par rapport à la règle générale de l'art. 256 al. 1 CPC, qui énonce que le tribunal peut renoncer aux débats et statuer sur pièces, à moins que la loi n'en dispose autrement. Il s'ensuit que le juge des mesures protectrices de l'union conjugale doit en principe tenir une audience avant de statuer (TAPPY, Commentaire Romand, Code de procédure civile, 2ème éd. 2019, n. 20 ad art. 276 CPC) et qu'il ne peut y renoncer que dans des cas simples et sans contestation quant aux faits ou si les époux ont déjà comparu récemment devant lui, par exemple s'il s'agit de ratifier une convention (arrêt du Tribunal cantonal fribourgeois 101 2012-300 du 3 décembre 2012 consid. 2c; TAPPY, op. cit., n. 19 ad art. 273 CPC). La Cour a rappelé, dans plusieurs décisions, la nécessité, pour le juge saisi d'une requête de mesures provisionnelles dans le cadre d'une procédure de divorce ou de modification de mesures protectrices de l'union conjugale, de tenir une audience en toute hypothèse (cf. notamment ACJC/575/2021 du 10 mai 2021 consid. 3.1.2; ACJC/537/2019 du 10 avril 2019 consid. 3.1.2). 4.2 Dans le présent cas, il résulte des principes sus-exposés que le Tribunal ne pouvait renoncer à la tenue d'une audience que si l'état de fait était clair ou incontesté. Tel n'est pas le cas en l'espèce dès lors que les conclusions des parties sur mesures provisionnelles divergent et que de nombreux allégués sont contestés. Dès lors que la procédure porte sur le sort d'un enfant mineur et que les maximes inquisitoire et d'office s'appliquent, le premier juge devait entendre les parties, avant de rendre sa décision. Ce constat suffit à sceller l'issue de l'appel.</w:t>
      </w:r>
    </w:p>
    <w:p>
      <w:r>
        <w:t>4.3 Par conséquent, l'ordonnance entreprise sera intégralement annulée. La requête de mesures provisionnelles ayant été rejetée d'entrée de cause, sans instruction, la cause sera renvoyée au premier juge afin qu'il cite les parties à comparaitre personnellement à une audience (art. 318 al. 1 let c. CPC), tente une conciliation, se prononce sur les mesures d'instruction requises par l'appelant (audition de l'enfant et production d'une série de documents) et examine ensuite si les conditions de l'art. 179 CC sont réalisées, puis rende une nouvelle décision. 5. L'appelant se plaint d'avoir à tort été débouté de ses conclusions sur mesures provisionnelles. 5.1 5.1.1 Une fois que des mesures provisionnelles ont été ordonnées, elles ne peuvent être modifiées qu'aux conditions de l'art. 179 CC, applicable par renvoi de l'art. 276 al. 1 CPC. Aux termes de l'art. 179 al. 1 1ère phrase CC, le juge</w:t>
      </w:r>
    </w:p>
    <w:p>
      <w:r>
        <w:t>- 10/14 -</w:t>
      </w:r>
    </w:p>
    <w:p>
      <w:r>
        <w:t>C/10606/2021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5A_531/2019 du 30 janvier 2020 consid. 4.1.1).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5.1.2 Tout comme une convention soumise à approbation peut être conclue sur les conséquences d'un divorce (art. 279 CPC), les conventions alimentaires dans le cadre d'une procédure de protection du mariage (art. 176 al. 1 ch. 1 CC) peuvent également être fondées sur un accord, auquel cas une ratification judiciaire est également requise (ATF 142 III 518 consid. 2.5; arrêts du Tribunal fédéral</w:t>
      </w:r>
    </w:p>
    <w:p>
      <w:r>
        <w:t>- 11/14 -</w:t>
      </w:r>
    </w:p>
    <w:p>
      <w:r>
        <w:t>C/10606/2021 5A_1031/2019 du 26 juin 2020 consid. 2.2; 5A_30/2019 du 8 mai 2019 consid. 3.2.1). Les possibilités de modifier des mesures protectrices fixées sous forme de convention des époux ratifiée par le juge sont par conséquent restreintes de la même manière qu'en divorce. Seuls les changements importants concernant des faits qui ont été considérés comme certains lors de la convention peuvent justifier une modification de celle-ci. Les faits incertains au moment de l'accord et qui ont précisément fait l'objet de la transaction (captum controversum)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(arrêt du Tribunal fédéral 5A_842/2015 du 26 mai 2016 consid. 2.5 à 2.6, partiellement publié aux ATF 142 III 518). Toutefois, le Tribunal statue sur les questions relatives aux enfants sans être lié par les conclusions des parties (principe officiel; art. 296 al. 3 CPC). Il s'ensuit qu'une convention des époux sur le sort des enfants ne lie pas le tribunal, mais possède plutôt le caractère d'une conclusion commune, dont le tribunal tient compte dans sa décision (ATF 143 III 361 consid. 7.3.1; arrêts du Tribunal fédéral 5A_1031/2019 du 26 juin 2020 consid. 2.2; 5A_915/2018 du 15 mai 2019 consid. 3.3) et ce, même lorsqu'elle intervient sous la forme d'une convention de divorce (arrêt du Tribunal fédéral 5A_915/2018 du 15 mai 2019 consid. 3.3). En cas de demande de nouvelles mesures protectrices ou de mesures provisionnelles dans le cadre d'un divorce,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5.2 En l'espèce, l'appelant a agi en modification des mesures protectrices prononcées en novembre 2019 afin qu'il soit statué (à nouveau) sur la garde, les relations personnelles et le domicile de l'enfant, ainsi que sur la prise en charge de ses coûts. Le Tribunal a retenu que la modification d'une convention ou d'un accord ratifié par le juge ne pouvait être admise qu'à des conditions restrictives. Tel n'est toutefois pas le cas en l'espèce, dès lors que selon les principes rappelés ci-avant, les questions concernant le sort des enfants devaient être examinées d'office sans qu'il soit nécessaire d'identifier si les faits nouveaux invoqués par l'appelant se trouvaient clairement hors du champ de l'évolution future des évènements, telle</w:t>
      </w:r>
    </w:p>
    <w:p>
      <w:r>
        <w:t>- 12/14 -</w:t>
      </w:r>
    </w:p>
    <w:p>
      <w:r>
        <w:t>C/10606/2021 qu'elle avait été envisagée, même inconsciemment, par les parties au moment de l'accord. La cause sera également renvoyée au Tribunal pour examiner cette question. 6. 6.1 Lorsque la Cour statue à nouveau, elle se prononce sur les frais fixés par le Tribunal de première instance (art. 318 al. 3 CPC). En l'espèce, la cause doit être renvoyée au Tribunal pour instruction complémentaire et nouvelle décision. Il se justifie dès lors d'inviter le Tribunal à statuer sur l'ensemble des frais judiciaires et dépens de première instance dans le jugement qu'il rendra au terme de la procédure de renvoi. 6.2 Les frais de la procédure d'appel seront arrêtés à 800 fr. (art. 31 et 37 RTFMC), compensés avec l'avance de frais fournie, acquise à l'Etat de Genève (art. 111 al. 1 CPC). Ils seront mis à la charge de l'intimée, qui a conclu au rejet de l'appel (art. 106 al. 1 CPC). L'intimée ne bénéficiant de l'assistance juridique que pour les frais de son conseil, les frais judiciaires d'appel demeureront à sa charge. Elle sera en conséquent condamnée à rembourser cette somme à l'appelant (art. 111 al. 2 CPC). Compte tenu de la nature familiale du litige, chaque partie supportera ses propres dépens d'appel (art. 107 al. 1 let. f CPC). * * * * *</w:t>
      </w:r>
    </w:p>
    <w:p>
      <w:r>
        <w:t>- 13/14 -</w:t>
      </w:r>
    </w:p>
    <w:p>
      <w:r>
        <w:t>C/10606/2021 PAR CES MOTIFS, La Chambre civile : A la forme : Déclare recevable l'appel interjeté le 8 septembre 2021 par A______ contre l'ordonnance OTPI/652/2021 rendue le 25 août 2021 par le Tribunal de première instance dans la cause C/10606/2021–13. Au fond : Annule cette ordonnance. Renvoie la cause au Tribunal de première instance pour instruction au sens des considérants et nouvelle décision. Déboute les parties de toutes autres conclusions. Sur les frais : Arrête les frais judiciaires d'appel à 800 fr., les compense avec l'avance de frais fournie, acquise à l'Etat de Genève, et les met à la charge de B______. Condamne B______ à verser 800 fr. à A______. Dit que chaque partie supporte ses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- 14/14 -</w:t>
      </w:r>
    </w:p>
    <w:p>
      <w:r>
        <w:t>C/10606/2021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février 2012 consid. 2.2). Ce délai d'attente comprend le temps nécessaire au plaideur pour faire parvenir son éventuelle réplique au tribunal (arrêt du Tribunal fédéral 5D_81/2015 précité, ibid).</w:t>
      </w:r>
    </w:p>
    <w:p>
      <w:r>
        <w:t>Si aucune réplique ne lui parvient durant ce délai, le juge peut valablement rendre son jugement au 10ème jour (arrêts du Tribunal fédéral 5A_281/2020 du 27 avril 2021 consid. 1.2; 5D_81/2015 du 4 avril 2016 consid. 2.3.4, 2.4.1 et 2.4.2). Il s'en suit qu'en l'absence de réplique de la part d'une partie au dixième jour suivant la notification, le juge peut considérer que cette dernière a renoncé à se déterminer et statuer sans violer son droit d'être entendu (arrêt du Tribunal fédéral 5A_281/2020 du 27 avril 2021 consid. 1.2). Le Tribunal fédéral a également considéré qu'une détermination formulée au bénéfice du droit de réplique ne pouvait pas être écartée pour le motif qu’elle</w:t>
      </w:r>
    </w:p>
    <w:p>
      <w:r>
        <w:t>- 8/14 -</w:t>
      </w:r>
    </w:p>
    <w:p>
      <w:r>
        <w:t>C/10606/2021 aurait été déposée plus de vingt jours après la dernière communication du Tribunal si le jugement n’a pas encore été rendu à la réception de celle-ci (RSPC 2013 460). Par ailleurs, les règles relatives à la computation des délais s'appliquent au droit de réplique (arrêt du Tribunal fédéral 4D_79/2014 du 23 janvier 2015 consid. 2). En résumé, la pratique du Tribunal fédéral ne traite pas tant de la question de savoir jusqu’à quand la partie qui entend répliquer peut le faire mais plutôt du moment à partir duquel l’autorité est en droit de rendre une décision, soit en général une dizaine de jours après la notification de l’acte (HALDY, Commentaire Romand, Code de procédure civile, 2ème éd. 2019, n. 7a ad art. 53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