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ACJC/249/2013 vom 3. September 2012</w:t>
      </w:r>
    </w:p>
    <w:p>
      <w:r>
        <w:t>GE Cour de justice, 2012-09-03, FR</w:t>
      </w:r>
    </w:p>
    <w:p>
      <w:r>
        <w:rPr>
          <w:b/>
        </w:rPr>
        <w:t xml:space="preserve">Quelle: </w:t>
      </w:r>
      <w:r>
        <w:t>https://mcp.opencaselaw.ch/entscheid/ge_gerichte_ACJC_249_2013</w:t>
      </w:r>
    </w:p>
    <w:p>
      <w:r>
        <w:t>FR: GE_GERICHTE ACJC/249/2013 du 3 septembre 2012</w:t>
      </w:r>
    </w:p>
    <w:p>
      <w:r>
        <w:t>IT: GE_GERICHTE ACJC/249/2013 del 3 settembre 2012</w:t>
      </w:r>
    </w:p>
    <w:p>
      <w:pPr>
        <w:pStyle w:val="Heading2"/>
      </w:pPr>
      <w:r>
        <w:t>Erwägungen</w:t>
      </w:r>
    </w:p>
    <w:p>
      <w:r>
        <w:rPr>
          <w:b/>
        </w:rPr>
        <w:t>E. 1</w:t>
      </w:r>
    </w:p>
    <w:p>
      <w:r>
        <w:t>Dans les affaires patrimoniales, l'appel n'est ouvert que si la valeur litigieuse atteint au moins 10'000 fr. (308 al. 2 CPC). Lorsque la prétention litigieuse porte, comme en l'espèce, sur une prestation périodique de durée indéterminée, le capital</w:t>
      </w:r>
    </w:p>
    <w:p>
      <w:r>
        <w:t>- 7/15 -</w:t>
      </w:r>
    </w:p>
    <w:p>
      <w:r>
        <w:t>C/780/2012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de la valeur litigieuse au dernier état des conclusions devant le Tribunal de première instance (art. 308 al. 2 CPC). Le montant alloué par l'instance inférieure ou celui encore litigieux devant la Cour de justice n'est pas déterminant (ATF 137 III 47 consid. 1.2.2 = SJ 2011 I 179). L'appelante a conclu au paiement d'une contribution à son entretien de 750 fr. par mois jusqu'à ses 10 ans, puis de 850 fr. L'intimé dit verser spontanément 750 fr. par mois, tout en sollicitant que la pension soit fixée à 500 fr. jusqu'à 10 ans et à 600 fr. au-delà. La valeur litigieuse est dès lors supérieure à 10'000 fr. (250 fr. x 12 x 7 ans + 250 fr. x 12 x 8 ans (majorité) = 45'000 fr.). La voie de l'appel est ainsi ouverte. L'appel a été interjeté dans le délai de trente jours (art. 311 al. 1 CPC) et suivant la forme prescrite par la loi (art. 130, 131, 311 al. 1 CPC). Il est ainsi recevable.</w:t>
      </w:r>
    </w:p>
    <w:p>
      <w:r>
        <w:rPr>
          <w:b/>
        </w:rPr>
        <w:t>E. 2.1</w:t>
      </w:r>
    </w:p>
    <w:p>
      <w:r>
        <w:t>La Cour revoit la cause avec un plein pouvoir d'examen, tant en fait qu'en droit (art. 310 CPC; HOHL, Procédure civile, tome II, 2010, n. 2314 et 2416; RETORNAZ, op. cit., p. 349 ss, n. 121). La procédure simplifiée est applicable (art. 295 CPC).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du Tribunal fédéral 5A_361/2011 du 7.12.2011 consid. 5.3; HOFMANN/LUSCHER, Le code de procédure civile, 2009, p. 185; TAPPY, Les procédures en droit matrimonial, in Procédure civile suisse, Neuchâtel, 2010, p. 325). Le juge peut en conséquence statuer autrement qu'il n'en a été requis; il peut octroyer plus que demandé ou moins qu'admis (JEANDIN, Code de procédure civile commenté, Bâle, 2011, n. 15 ad art. 296 CPC).</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S'agissant de litiges soumis à la maxime inquisitoire, les parties peuvent invoquer les faits nouveaux jusqu'aux délibérations de l'instance d'appel (CHAIX, L'apport</w:t>
      </w:r>
    </w:p>
    <w:p>
      <w:r>
        <w:t>- 8/15 -</w:t>
      </w:r>
    </w:p>
    <w:p>
      <w:r>
        <w:t>C/780/2012 des faits au procès, in Procédure civile suisse, Les grands thèmes pour les praticiens, Neuchâtel, 2010, p. 133; HOFMANN/LUSCHER, op. cit., p. 197).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Les pièces nouvelles déposées par l'appelante ont été établies postérieurement au jugement entrepris, de sorte qu'elles sont recevables. Il en va de même des pièces dont la production a été ordonnée par la Cour de céans. Par ailleurs, les faits nouveaux invoqués par l'intimé, soit son mariage, son déménagement et la naissance de l'enfant sont survenus pendant la procédure d'appel. L'intimé les a invoqués rapidement et avant la mise en délibération de la cause, de sorte qu'ils sont également recevables. 3. 3.1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w:t>
      </w:r>
    </w:p>
    <w:p>
      <w:r>
        <w:t>- 9/15 -</w:t>
      </w:r>
    </w:p>
    <w:p>
      <w:r>
        <w:t>C/780/2012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 montant de la contribution d'entretien est laissé, pour une part importante, à l'appréciation du juge (art. 4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Pour apprécier les besoins concrets de l'enfant, la jurisprudence admet, comme l'une des méthodes possibles, celle qui se réfère aux valeurs indicatives retenues par l'Office de la jeunesse du canton de Zurich (Tabelles zurichoises; www.lotse.zh.ch), qui permettent d'évaluer, sur la base de moyennes statistiques, le coût total de l'entretien d'un enfant en fonction de son âge (arrêt du Tribunal fédéral 5C.49/2006 du 24 août 2006, consid. 2.2). Dans tous les cas, le minimum vital du débirentier doit être au moins préservé (ATF 135 III 66 consid. 10, JdT 2010 I 167; 127 III 68, JdT 2001 I 562 consid. 2c p. 565/566; 126 III 353 consid. 1a/aa et bb p. 356/357; 123 III 1, JdT 1998 I 39 consid. 3b/bb, 3e et 5 p. 40/41 et p. 44/45). En toute hypothèse, il convient de prendre en compte les particularités de chaque situation, sans faire preuve d'un schématisme aveugle, le juge disposant d'un large pouvoir d'appréciation des faits dans le cadre de l'article 285 CC (ATF 128 III 161 consid. 2, JdT 2002 I 472). Plus spécifiquement et par rapport au débirentier, les enfants issus de lits différents doivent être traités sur pied d'égalité (ATF 137 III 59 consid. 4.2.1, SJ 2011 I 221), l'étendue de l'entretien leur étant dû dépendant toutefois non seulement de la capacité contributive du parent débirentier, mais également de celle du parent gardien (ATF 126 III 353 consid. 2b et les références citées). 3.2 Si des enfants ou des tiers vivent dans le foyer du débirentier, leur part au coût du logement est déduite (arrêt du Tribunal fédéral 5C.277/2001 consid. 3.2). Cette</w:t>
      </w:r>
    </w:p>
    <w:p>
      <w:r>
        <w:t>- 10/15 -</w:t>
      </w:r>
    </w:p>
    <w:p>
      <w:r>
        <w:t>C/780/2012 participation est en règle générale de la moitié, mais peut parfois être fixée à 1/3 ou 2/3 si l'adulte vivant avec lui ou lui-même logent des enfants (arrêt du Tribunal fédéral 5P.238/2005 consid. 4.1). Elle est évaluée de cas en cas, selon le nombre d'enfants et le montant du loyer, le juge pouvant se référer au coût du logement selon les Tabelles zurichoises (BASTONS BULLETTI, op. cit., p. 85). Les allocations familiales doivent être retranchées du coût de l'enfant (arrêt du Tribunal fédéral 5C.127/2003 du 15.10.2003 consid. 4.1.2). Les coûts fixes et variables des frais de déplacement nécessaires pour se rendre au travail sont admis et calculés sans tenir compte de l'amortissement (Lignes directrices pour le calcul du minimum vital du canton de Vaud, partie II, d; BASTONS BULLETTI, op. cit., p. 86). Les différents coûts engendrés par l'utilisation d'une voiture, soit l'essence, en fonction du nombre de kilomètres effectués par mois, le coût mensualisé des primes d'assurances Casco et RC, des services courants pour l'entretien et de l'impôt sur les véhicules, sont additionnés, dans la mesure où ces dépenses sont prouvées (OCHSNER, Le minimum vital in : SJ 2012 II 139). Les dépenses pour les repas pris hors du domicile sont admissibles à 9 fr. et 11 fr. par repas principal (Lignes directrices pour le calcul du minimum vital du canton de Vaud, partie II, b; BASTONS BULLETTI, op. cit., p. 86). Le minimum vital d'un couple dans le canton de Vaud est fixé à 1'700 fr. (http://www.vd.ch/themes/economie/poursuites-et-faillites/minimum-vital/i- montant- de-base-mensuel). 3.3 Il convient en premier lieu d'établir les revenus et charges respectifs des parents, ainsi que de l'enfant. La mère de l'appelante percevait en 2012 des indemnités de l'assurance-chômage de l'ordre de 2'200 fr. par mois; depuis le 1er septembre 2012, elle réalise un revenu mensuel net, treizième salaire inclus, de 2'175 fr. 65. Elle doit régler le quart du loyer de l'appartement, de 374 fr. 25, la prime d'assurance-maladie et les frais de transport. Elle doit également assumer la moitié prise en charge financière de l'enfant né en février 2012 de sa relation avec son compagnon. Aussi, la Cour retient que les revenus de la mère de l'appelante lui permettent uniquement de régler ses frais. Les charges de A______ comprennent ¼ du loyer, soit 374 fr. 25, la prime d'assurance-maladie de 98 fr. 30, les frais de garde de 760 fr. et le minimum vital de 400 fr., sous déduction de 300 fr. d'allocations familiales, soit 1'332 fr. 55. Il se justifie de prendre en considération les frais de garde, compte tenu du fait que la mère de l'appelante devait, dans le cadre de l'assurance-chômage, rechercher un</w:t>
      </w:r>
    </w:p>
    <w:p>
      <w:r>
        <w:t>- 11/15 -</w:t>
      </w:r>
    </w:p>
    <w:p>
      <w:r>
        <w:t>C/780/2012 emploi, et qu'elle exerce actuellement une activité lucrative, impliquant la prise en charge par des tiers de A______. Selon les Tabelles de Zurich, le coût d'un enfant unique, âgé entre 1 à 6 ans, s'élève à 2'040 fr. par mois, sous déduction du loyer de 370 fr., soit 1'670 fr. Quant à l'intimé, ses revenus mensuels nets s'élèvent à 3'581 fr. Ses charges mensuelles comprennent la prime d'assurance-maladie de 324 fr. 95, les frais de déplacement de 220 fr., les frais de repas pris hors du domicile de 176 fr. et la moitié du minimum vital OP de 850 fr., soit 1'570 fr. 95. Il n'est pas contesté que l'intimé parcourt 60 kilomètres par jour, soit 300 kilomètres par semaine et qu'il bénéficie de 5 semaines de vacances, de sorte que l'intimé effectue 14'100 kilomètres pendant 47 semaines. L'intimé n'a toutefois pas démontré les frais liés à l'utilisation de son véhicule, de sorte que seuls les frais d'essence seront pris en considération. Le calcul se présente comme suit : 10 litres pour 100 kilomètres x 1 fr. 85 le kilomètre = 0,185 fr. le kilomètre x 14'100 kilomètres par an /12 mois = 217 fr. 35 par mois, arrondi à 220 fr.). Les frais de repas pris hors du domicile sont retenus par la Cour dès lors que l'intimé ne peut rentrer manger chez lui à midi, compte tenu de la distance qui sépare son lieu de travail et son logement et évalués à 176 fr. par mois (47 semaines de travail x 5 jours x 9 fr. / 12 mois). A ces montants s'ajoute le loyer de l'appartement. Celui-ci s'élevait à 1'500 fr. jusqu'à fin septembre 2012, puis à 1'650 fr. depuis lors, dont la moitié sera prise en considération (soit 750 fr. et 825 fr.), l'intimé le partageant avec sa compagne. Par ailleurs, et dès janvier 2013, la Cour prendra en compte le tiers du loyer, soit 550 fr., en raison de la naissance de D______. Ainsi, la Cour retient, au titre des charges incompressibles de l'intimé, la somme de 2'321 fr. (2'320 fr. 95 arrondi) jusqu'à fin septembre 2012, 2'396 fr. (2'395 fr. 95 arrondi) depuis le 1er octobre 2012 et 2'121 fr. (2'120 fr. 95 arrondi) depuis janvier 2013. L'intimé disposait ainsi d'un solde mensuel de respectivement 1'260 fr. et 1'185 fr. en 2012 et de 1'460 fr. depuis janvier 2013. L'intimé doit également faire face, depuis le mois de janvier 2013, à la moitié des charges de D______, lesquelles sont évaluées à 425 fr. (400 fr. de minimum vital, sous déduction de 200 fr. d'allocations, 100 fr. d'assurance-maladie et 1/3 du loyer soit 550 fr. = 850 fr. / 2). 3.4 Compte tenu de l'ensemble des éléments qui précèdent, la contribution d'entretien due par l'intimé à l'appelante sera fixée à 850 fr. jusqu'au 31 décembre</w:t>
      </w:r>
    </w:p>
    <w:p>
      <w:r>
        <w:t>- 12/15 -</w:t>
      </w:r>
    </w:p>
    <w:p>
      <w:r>
        <w:t>C/780/2012 2012 et à 650 fr. depuis le 1er janvier 2013 jusqu'aux 12 ans de l'appelante, puis à 750 fr. jusqu'à la majorité voire au-delà en cas d'études ou de formation professionnelle régulièrement suivies. Après paiement de cette pension, l'intimé disposera, depuis janvier 2013, d'un solde de 710 fr. (1'460 fr. moins 750 fr.) pour régler les frais liés à D______. 3.5 L'enfant peut agir contre son père et sa mère, ou contre les deux ensemble, afin de leur réclamer l'entretien pour l'avenir et pour l'année qui précède l'ouverture de l'action (art. 279 al. 1 CC). L'instance est introduite par le dépôt de la requête en conciliation, de la demande ou de la requête en justice (art. 62 al. 1 CPC). 3.6 L'appelante sollicite que la pension soit fixée dès le 18 janvier 2011, soit un an avant le dépôt de la demande. Contrairement à ce qu'a retenu le premier juge, la requête a été déposée en vue de conciliation le 18 janvier 2012, créant le lien d'instance. La saisine du Tribunal de première instance le 1er mars 2012 après la délivrance de l'autorisation de procéder n'est à cet égard pas déterminante. Il se justifie en conséquence de faire rétroagir la contribution d'entretien au 18 janvier 2011. 3.7 En conséquence, l'intimé sera condamné à verser à l'appelante, en mains de son représentant légal, dès le 18 janvier 2011, la somme de 850 fr. jusqu'au 31 décembre 2012, 650 fr. dès le 1er janvier 2013 et 750 fr. des 12 ans de l'enfant jusqu'à sa majorité, voire au-delà en cas d'études ou de formation professionnelle régulièrement suivies, sous déduction des montants versés à ce titre par l'intimé, qui se montent à 10'500 fr., pour la période du 1er janvier 2011 au 30 novembre 2012. 4.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33 et 35 du Règlement fixant le tarif des greffes en matière civile, RTFMC - E 1 05.10). Vu l'issue du litige et la qualité des parties, ils seront mis à charge des parties pour moitié chacune. L'appelante bénéficiant de l'assistance juridique, elle a été dispensée de verser l'avance de frais. Ces frais restent provisoirement à la charge de l'Etat (art. 122 al. 1 let. b, 123 CPC et 19 RAJ). L'intimé sera quant à lui condamné à verser 500 fr. à l'Etat.</w:t>
      </w:r>
    </w:p>
    <w:p>
      <w:r>
        <w:t>- 13/15 -</w:t>
      </w:r>
    </w:p>
    <w:p>
      <w:r>
        <w:t>C/780/2012 Pour le surplus, chaque partie gardera à sa charge ses propres dépens (art. 105 CPC). * * * * *</w:t>
      </w:r>
    </w:p>
    <w:p>
      <w:r>
        <w:t>- 14/15 -</w:t>
      </w:r>
    </w:p>
    <w:p>
      <w:r>
        <w:t>C/780/2012 PAR CES MOTIFS, La Chambre civile : A la forme : Déclare recevable l'appel interjeté par A______ contre le jugement JTPI/12099/2012 rendu le 3 septembre 2012 par le Tribunal de première instance dans la cause C/780/2012-16. Déclare recevables les faits nouveaux allégués par B______ et les pièces s'y rapportant. Déclare recevables les pièces nouvelles produites par A______ et B______. Au fond : Annule le ch. 1 du jugement. Cela fait et statuant à nouveau : Condamne B______ à verser en mains de C______, par mois et d'avance, à titre de contribution à l'entretien de A______, née le ______ 2009, allocations familiales ou d'études non comprises, la somme de 850 fr. du 18 janvier 2011 au 31 décembre 2012, de 650 fr. dès le 1er janvier 2013 aux 12 ans révolus de A______ et de 750 fr. de 12 ans à la majorité, voire au-delà en cas d'études ou de formation professionnelle régulièrement suivies, sous déduction de 10'500 fr. Confirme le jugement pour le surplus. Sur les frais d'appel : Arrête les frais judiciaires à 1'000 fr. et les met à charge de A______ et B______ pour moitié chacun. Laisse provisoirement les frais de A______ à la charge de l'Etat. Condamne B______ à verser 500 fr. aux Services financiers du pouvoir judiciaire. Dit que chacune des parties conserve à sa charge ses dépens. Déboute les parties de toutes autres conclusions.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w:t>
      </w:r>
    </w:p>
    <w:p>
      <w:r>
        <w:t>- 15/15 -</w:t>
      </w:r>
    </w:p>
    <w:p>
      <w:r>
        <w:t>C/780/2012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