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ACJC/246/2022 vom 22. Februar 2022</w:t>
      </w:r>
    </w:p>
    <w:p>
      <w:r>
        <w:t>GE Cour de justice, 2022-02-22, FR</w:t>
      </w:r>
    </w:p>
    <w:p>
      <w:r>
        <w:rPr>
          <w:b/>
        </w:rPr>
        <w:t xml:space="preserve">Quelle: </w:t>
      </w:r>
      <w:r>
        <w:t>https://mcp.opencaselaw.ch/entscheid/ge_gerichte_ACJC_246_2022</w:t>
      </w:r>
    </w:p>
    <w:p>
      <w:r>
        <w:t>FR: GE_GERICHTE ACJC/246/2022 du 22 février 2022</w:t>
      </w:r>
    </w:p>
    <w:p>
      <w:r>
        <w:t>IT: GE_GERICHTE ACJC/246/2022 del 22 febbraio 2022</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Dès lors qu'en l'espèce, le litige - dont la valeur litigieuse excède vraisemblablement 10'000 fr. - porte exclusivement sur une question financière, à savoir le partage des avoirs de prévoyance professionnelle, il est de nature pécuniaire (ATF 133 III 393 consid. 2; arrêts du Tribunal fédéral 5A_42/2013 du 27 juin 2013 consid. 1.1; 5A_906/2012 du 18 avril 2013 consid. 1; 5A_236/2011 du 18 octobre 2011 consid. 1; 5A_511/2010 du 4 février 2011 consid. 1.1). Partant, l'appel, motivé et formé par écrit dans un délai de trente jours à compter de la notification de la décision, est recevable (art. 130, 131 et 311 al. 1 CPC).</w:t>
      </w:r>
    </w:p>
    <w:p>
      <w:r>
        <w:t>Sont également recevables la réponse de l'intimée à l'appel formé par l'appelant ainsi que les réplique et duplique respectives, déposées dans les délais légaux, respectivement jurisprudentiels à cet effet (art. 312 al. 2, 316 al. 1 CPC).</w:t>
      </w:r>
    </w:p>
    <w:p>
      <w:r>
        <w:rPr>
          <w:b/>
        </w:rPr>
        <w:t>E. 2</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En tant qu'elle porte sur le partage des avoirs de prévoyance professionnelle des parties, la procédure de seconde instance est également soumise aux maximes de disposition (art. 58 al. 1 CPC) et la maxime des débats atténuée en seconde instance (art. 55 al. 1, art. 277 al. 1 et 2 CPC) (ATF 129 III 481 consid. 3.3; arrêt du Tribunal fédéral 5A_407/2018 du 11 janvier 2019 consid. 5.3 et les références). En revanche, le juge de première instance établit les faits d'office pour toutes les questions qui touchent à la prévoyance professionnelle (art. 277 al. 3 CPC), sur lesquelles il statue même en l'absence de conclusions des parties, les maxime d'office et la maxime inquisitoire s'imposant (arrêts du Tribunal fédéral 5A_18/2018 du 16 mars 2018 consid. 6 et 5A_862/2012 du 30 mai 2013 consid. 5.3.2 et 5.3.3 et les réf. cit.).</w:t>
      </w:r>
    </w:p>
    <w:p>
      <w:r>
        <w:t>- 7/13 -</w:t>
      </w:r>
    </w:p>
    <w:p>
      <w:r>
        <w:t>C/9093/2021</w:t>
      </w:r>
    </w:p>
    <w:p>
      <w:r>
        <w:rPr>
          <w:b/>
        </w:rPr>
        <w:t>E. 3</w:t>
      </w:r>
    </w:p>
    <w:p>
      <w:r>
        <w:t>Les parties ont produit de nouvelles pièces.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Cour examine d'office la recevabilité des faits et moyens de preuve nouveaux, ainsi que des conclusions nouvelles, en appel (REETZ/HILBER, in Kommentar zur Schweizerischen Zivilprozessordnung, 3ème éd., 2016, n. 26 ad art. 317 CPC).</w:t>
      </w:r>
    </w:p>
    <w:p>
      <w:r>
        <w:rPr>
          <w:b/>
        </w:rPr>
        <w:t>E. 3.2</w:t>
      </w:r>
    </w:p>
    <w:p>
      <w:r>
        <w:t>En l'espèce, les pièces n. 13 à 28 produites par l'appelant ont toutes été établies avant que le Tribunal ne garde la cause à juger (datant de 2006 à 2018). Il n'explicite pas pour quel motif il n'aurait pas été en mesure de verser ces pièces avant sa demande en divorce, respectivement durant la procédure de première instance. Ces pièces sont en conséquence irrecevables, ainsi que les allégués de fait s'y rapportent. Il en va de même des titres versés par l'intimée, tous établis avant que le Tribunal statue.</w:t>
      </w:r>
    </w:p>
    <w:p>
      <w:r>
        <w:rPr>
          <w:b/>
        </w:rPr>
        <w:t>E. 4</w:t>
      </w:r>
    </w:p>
    <w:p>
      <w:r>
        <w:t>L'appelant reproche au Tribunal d'avoir ordonné le partage des avoirs de prévoyance accumulés durant le mariage.</w:t>
      </w:r>
    </w:p>
    <w:p>
      <w:r>
        <w:rPr>
          <w:b/>
        </w:rPr>
        <w:t>E. 4.1</w:t>
      </w:r>
    </w:p>
    <w:p>
      <w:r>
        <w:t>Selon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(art. 123 al. 1 CC). Comme sous l'ancien droit, les avoirs - intérêts compris - qui existaient déjà au moment du mariage sont ainsi exclus des prestations de sortie à partager (art. 22a al. 1 LFLP; Message du Conseil fédéral du 29 mai 2013 concernant la révision du code civil [Partage de la prévoyance professionnelle en cas de divorce], FF 2013 4341, p. 4360). Les prestations de sortie acquises, y compris les avoirs de libre passage et les versements anticipés pour la propriété du logement, sont partagées par moitié entre les époux (art. 123 al. 1 CC). Dans l'application de cette disposition, il importe de ne pas vider de sa substance le principe du partage par moitié (Message du Conseil fédéral du 29 mai 2013 concernant la révision du code civil suisse [Partage de la prévoyance professionnelle en cas de divorce], FF 2013 434 p. 4371). La fortune de l'époux créancier ne constitue pas en soi un motif d'exclusion du partage par moitié, car la compensation des lacunes de prévoyance est conçue comme une institution juridique indépendante et non comme une prestation de</w:t>
      </w:r>
    </w:p>
    <w:p>
      <w:r>
        <w:t>- 8/13 -</w:t>
      </w:r>
    </w:p>
    <w:p>
      <w:r>
        <w:t>C/9093/2021 besoin (arrêts du Tribunal fédéral 5A_220/2015 du 11 novembre 2015 consid. 5.2; 5A_79/2009 du 28 mai 2009 consid. 2; 5C.49/2006 du 24 août 2006 consid. 3.1 et la réf. citée). Le Tribunal fédéral a ainsi retenu qu'une épouse n'ayant jamais travaillé qui n'avait ainsi jamais pu se constituer de prévoyance mais qui disposait d'une fortune importante dont elle avait hérité était en droit de prétendre au partage des prévoyances professionnelles accumulés par son époux durant le mariage (ATF 135 III 153).</w:t>
      </w:r>
    </w:p>
    <w:p>
      <w:r>
        <w:rPr>
          <w:b/>
        </w:rPr>
        <w:t>E. 4.2</w:t>
      </w:r>
    </w:p>
    <w:p>
      <w:r>
        <w:t>Si, au moment de l'introduction de la procédure de divorce, l'un des époux perçoit une rente d'invalidité alors qu'il a déjà atteint l'âge réglementaire de la retraite ou perçoit une rente de vieillesse, le juge apprécie les modalités du partage. Il tient compte en particulier de la durée du mariage et des besoins de prévoyance de chacun des époux (art. 124a al. 1 CC). En cas de partage d'une rente de vieillesse, la part de rente attribuée au conjoint créancier est convertie en rente viagère (art. 124a al. 2 CC). La conversion technique de cette part de rente en rente viagère est réglée par le Conseil fédéral (art. 124a al. 3 ch. 1 CC; art. 19h al. 1 et annexe OPP). Elle se calcule en ligne au moyen de la calculette disponible sur le site internet de l'Office fédéral des assurances sociales (https://www.bsv.admin.ch/bsv/fr/home/assurances- sociales/bv/grundlagen-und-gesetze/grundlagen/vorsorgeausgleich-bei-scheidung. html). Tant la part à la prestation de sortie qu'à la rente vieillesse sont liées à des fins de prévoyance et doivent être transférées dans la prévoyance professionnelle du bénéficiaire, soit à sa caisse de prévoyance ou, à défaut, sur un compte de libre- passage ou à l'institution supplétive LPP. Lorsque le bénéficiaire est déjà retraité, la part de prestation de sortie ou de rente de vieillesse peut lui être directement versée en espèces (art. 124a al. 2 CC et art. 5 LFLP; GEISER, Basler Kommentar, 2018, n. 33 et 34 ad art 123 et n. 33 et 34 ad art. 124a CC). Par ailleurs, la compensation de dettes d'argent avec la créance issue du partage de la prévoyance est prohibée parce que la garantie du but de prévoyance n'est pas assurée. Il n'est ainsi pas admissible qu'un époux renonce à son droit au sens de l'art. 123 aCC dans le but d'éteindre une dette à l'égard de son conjoint (PICHONNAZ, Commentaire romand, 2010, n. 23 ad art. 123 aCC).</w:t>
      </w:r>
    </w:p>
    <w:p>
      <w:r>
        <w:rPr>
          <w:b/>
        </w:rPr>
        <w:t>E. 4.3</w:t>
      </w:r>
    </w:p>
    <w:p>
      <w:r>
        <w:t>En l'absence de convention et si le montant des avoirs et des rentes déterminants est fixé, le tribunal statue sur le partage conformément aux dispositions du Code civil et de la loi fédérale du 17 décembre 1993 sur le libre passage (LFLP) (art. 122 à 124e CC, en relation avec les art. 22 à 22f LFLP), établit le montant à transférer et demande aux institutions de prévoyance professionnelle concernées, en leur fixant un délai à cet effet, une attestation du caractère réalisable du régime envisagé (art. 281 al. 1 CPC). Dans les autres cas</w:t>
      </w:r>
    </w:p>
    <w:p>
      <w:r>
        <w:t>- 9/13 -</w:t>
      </w:r>
    </w:p>
    <w:p>
      <w:r>
        <w:t>C/9093/2021 d'absence de convention (art. 281 al. 3 CPC), le tribunal, à l'entrée en force de la décision sur le partage, défère d'office l'affaire au tribunal compétent en vertu de la LFLP et lui communique en particulier la décision relative au partage (let. a); la date du mariage et celle du divorce (let. b); le nom des institutions de prévoyance professionnelle auprès desquelles les conjoints ont vraisemblablement des avoirs et le montant de ces avoirs (let. c); le nom des institutions de prévoyance professionnelle qui versent des rentes aux époux, le montant de ces rentes et les parts de rente allouées (let. d).</w:t>
      </w:r>
    </w:p>
    <w:p>
      <w:r>
        <w:rPr>
          <w:b/>
        </w:rPr>
        <w:t>E. 4.4</w:t>
      </w:r>
    </w:p>
    <w:p>
      <w:r>
        <w:t>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La liste des justes motifs énumérés à l'art. 124b al. 2 CC n'est pas exhaustive (arrêt du Tribunal fédéral 5A_194/2020 du 5 novembre 2020 consid. 4.1.1; Message du Conseil fédéral du 29 mai 2013 concernant la révision du code civil suisse [Partage de la prévoyance professionnelle en cas de divorce], FF 2013 4341, p. 4371). L'iniquité se mesure à l'aune des besoins de prévoyance de l'un et de l'autre conjoint (arrêt du Tribunal fédéral 5A_194/2020 du 5 novembre 2020 consid. 4.1.1; Message du Conseil fédéral du 29 mai 2013 concernant la révision du code civil suisse [Partage de la prévoyance professionnelle en cas de divorce], FF 2013 4341, p. 4371). Le nouveau droit n'exige plus que le partage s'avère "manifestement" inéquitable, ce qui doit permettre au juge de prononcer plus facilement un refus que sous l'ancien droit. Il y a iniquité lorsqu'un partage par moitié de l'avoir de prévoyance professionnelle de l'un des époux engendre pour lui une situation qui paraît choquante au regard de celle de son conjoint (LEUBA, Le nouveau droit du partage de la prévoyance professionnelle en cas de divorce, in FamPra.ch 2017 p. 25). Il y a par exemple iniquité selon l'art. 124b al. 2 ch. 1 CC lorsqu'une épouse active a financé la formation de son mari et que celui-ci va exercer une profession qui lui permettra de se constituer une meilleure prévoyance vieillesse que celle-là. Il en va de même lorsque l'un des époux est employé, dispose d'un revenu et d'un deuxième pilier modestes, tandis que l'autre conjoint est indépendant, ne dispose pas d'un deuxième pilier, mais se porte beaucoup mieux financièrement (Message LPP, op. cit., pp. 4370 et 4371; arrêt du Tribunal fédéral 5A_945/2016 du 19 mai 2017 consid. 3.1.2 et les références citées). Il convient toutefois de veiller à ce que l'application de l'art. 124b al. 2 CC ne vide pas de sa substance le principe du partage par moitié, le partage de la prévoyance professionnelle devant, dans l'idéal, permettre aux deux conjoints de disposer d'un</w:t>
      </w:r>
    </w:p>
    <w:p>
      <w:r>
        <w:t>- 10/13 -</w:t>
      </w:r>
    </w:p>
    <w:p>
      <w:r>
        <w:t>C/9093/2021 avoir de prévoyance de qualité égale (ATF 145 III 56 consid. 5.3.2 et les références citées). Des différences de fortune ou de perspectives de gains ne constituent pas un motif suffisant de déroger à ce principe (Message du Conseil fédéral, op. cit., p. 4371). Le juge dispose d'un large pouvoir d'appréciation (arrêt du Tribunal fédéral 5A_804/2016 du 26 janvier 2017 consid. 3.1.3 et les références citées).</w:t>
      </w:r>
    </w:p>
    <w:p>
      <w:r>
        <w:rPr>
          <w:b/>
        </w:rPr>
        <w:t>E. 4.5</w:t>
      </w:r>
    </w:p>
    <w:p>
      <w:r>
        <w:t>Garanti aux art. 29 al. 2 Cst et 53 CPC, le droit d'être entendu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Lorsque l'autorité de recours a une cognition complète, il est en principe admissible, sous l'angle du droit constitutionnel, de guérir les défauts de motivation du jugement de première instance (ATF 137 I 195 consid. 2.3.2 in SJ 2011 I 345; arrêt du Tribunal fédéral 5A_638/2016 du 2 décembre 2016 consid. 3.5.2).</w:t>
      </w:r>
    </w:p>
    <w:p>
      <w:r>
        <w:rPr>
          <w:b/>
        </w:rPr>
        <w:t>E. 4.6</w:t>
      </w:r>
    </w:p>
    <w:p>
      <w:r>
        <w:t>En l'espèce, les dates déterminantes pour le partage sont celle du mariage (28 février 2011) et celle du dépôt de la demande en divorce (10 mai 2021). Le Tribunal a considéré que, dans la mesure où leurs besoins de prévoyance étaient identiques et que les ex-époux disposaient apparemment de certains éléments de fortune, il ne se justifiait pas de déroger au principe du partage par moitié des avoirs de prévoyance accumulés durant le mariage. Il résulte du dossier que les ex-époux ont tous deux cotisé auprès d'une institution en France. On ignore toutefois le montant précis accumulé par les parties, aucune pièce n'ayant été produite à cet égard. Ces éléments ne ressortent pas non plus du procès-verbal d'audition des intéressés. L'intimée dispose pour le surplus également en Suisse d'une assurance, dont la Cour ne peut déterminer le montant acquis par la précitée. En effet, l'attestation produite date de février 2012. Par ailleurs, l'attestation versée par l'intimée relative à son avoir de prévoyance a été établie en 2018, alors que la date topique est celle de la demande en divorce, soit mai 2021. L'intimée est employée, à un taux qui ne résulte pas de la procédure. Elle n'a toutefois produit qu'une seule fiche de salaire, de sorte qu'il n'est pas possible de déterminer si elle cotise ou non au 2ème pilier.</w:t>
      </w:r>
    </w:p>
    <w:p>
      <w:r>
        <w:t>- 11/13 -</w:t>
      </w:r>
    </w:p>
    <w:p>
      <w:r>
        <w:t>C/9093/2021 Enfin, le premier juge n'a indiqué aucun des éléments nécessaires qu'il a dû prendre en compte pour déterminer le montant de la rente au moyen de la calculette disponible sur le site internet de l'Office fédéral des assurances sociales. Ce faisant, le Tribunal a violé le droit d'être entendu de l'appelant. La Cour n'est pour sa part pas en mesure de vérifier les calculs ainsi opérés.</w:t>
      </w:r>
    </w:p>
    <w:p>
      <w:r>
        <w:rPr>
          <w:b/>
        </w:rPr>
        <w:t>E. 4.7</w:t>
      </w:r>
    </w:p>
    <w:p>
      <w:r>
        <w:t>Au vu de l'ensemble des éléments qui précèdent, les chiffres 5 à 7 du dispositif du jugement entrepris seront annulés et la cause sera renvoyée au Tribunal pour instruction complémentaire au sens des présents considérants et nouvelle décision. Il appartiendra au premier juge, compte tenu de la maxime inquisitoire applicable devant lui, d'ordonner des mesures d'instruction visant à déterminer précisément la situation financière et de prévoyance des parties, en Suisse comme à l'étranger, et, le cas échéant, d'expliciter les éléments et les calculs relatifs au partage de la prévoyance et la fixation de la rente viagère.</w:t>
      </w:r>
    </w:p>
    <w:p>
      <w:r>
        <w:rPr>
          <w:b/>
        </w:rPr>
        <w:t>E. 5.1</w:t>
      </w:r>
    </w:p>
    <w:p>
      <w:r>
        <w:t>Lorsque la Cour statue à nouveau, elle se prononce sur les frais fixés par le Tribunal de première instance (art. 318 al. 3 CPC). En l'espèce, la cause doit être renvoyée au Tribunal pour instruction complémentaire et nouvelle décision. Il se justifie dès lors d'inviter le Tribunal à statuer sur l'ensemble des frais judiciaires et dépens de première instance dans le jugement qu'il rendra au terme de la procédure de renvoi.</w:t>
      </w:r>
    </w:p>
    <w:p>
      <w:r>
        <w:rPr>
          <w:b/>
        </w:rPr>
        <w:t>E. 5.2</w:t>
      </w:r>
    </w:p>
    <w:p>
      <w:r>
        <w:t>Les frais de la procédure d'appel seront arrêtés à 1'000 fr. (art. 30 et 35 RTFMC), compensés avec l'avance de frais fournie, acquise à l'Etat de Genève (art. 111 al. 1 CPC). Ils seront mis à la charge de l'intimée, qui a conclu au rejet de l'appel (art. 106 al. 1 CPC). L'intimée sera dès lors condamnée à rembourser la somme de 1'000 fr. à l'appelant (art. 111 al. 2 CPC). Compte tenu de la nature familiale du litige, chaque partie supportera ses propres dépens d'appel (art. 107 al. 1 let. f CPC). * * * * *</w:t>
      </w:r>
    </w:p>
    <w:p>
      <w:r>
        <w:t>- 12/13 -</w:t>
      </w:r>
    </w:p>
    <w:p>
      <w:r>
        <w:t>C/9093/2021 PAR CES MOTIFS, La Chambre civile : A la forme : Déclare recevable l'appel interjeté le 14 octobre 2021 par A______ contre les chiffres 5 à 7 du dispositif du jugement JTPI/11232/2021 rendu le 6 septembre 2021 par le Tribunal de première instance dans la cause C/9093/2021-8. Au fond : Annule les chiffres 5 à 7 du dispositif de ce jugement. Cela fait et statuant à nouveau sur ces points : Renvoie la cause au Tribunal pour instruction complémentaire au sens des considérants et nouvelle décision. Déboute les parties de toutes autres conclusions. Sur les frais : Arrête les frais judiciaires de l'appel à 1'000 fr., compensés avec l'avance de frais versée, acquise à l'Etat de Genève et les met à la charge de B______. Condamne B______ à verser 1'000 fr. à ce titre à A______. Dit que chaque partie supporte ses propres dépens d'appel. Siégeant : Madame Jocelyne DEVILLE-CHAVANNE, présidente; Madame Verena PEDRAZZINI RIZZI, Madame Nathalie LANDRY-BARTHE, juges; Madame Gladys REICHENBACH, greffière.</w:t>
      </w:r>
    </w:p>
    <w:p>
      <w:r>
        <w:t>La présidente : Jocelyne DEVILLE-CHAVANNE</w:t>
      </w:r>
    </w:p>
    <w:p>
      <w:r>
        <w:t>La greffière : Gladys REICHENBACH</w:t>
      </w:r>
    </w:p>
    <w:p>
      <w:r>
        <w:t>- 13/13 -</w:t>
      </w:r>
    </w:p>
    <w:p>
      <w:r>
        <w:t>C/9093/2021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