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ACJC/244/2025 vom 13. September 2024</w:t>
      </w:r>
    </w:p>
    <w:p>
      <w:r>
        <w:t>GE Cour de justice, 2024-09-13, FR</w:t>
      </w:r>
    </w:p>
    <w:p>
      <w:r>
        <w:rPr>
          <w:b/>
        </w:rPr>
        <w:t xml:space="preserve">Quelle: </w:t>
      </w:r>
      <w:r>
        <w:t>https://mcp.opencaselaw.ch/entscheid/ge_gerichte_ACJC_244_2025</w:t>
      </w:r>
    </w:p>
    <w:p>
      <w:r>
        <w:t>FR: GE_GERICHTE ACJC/244/2025 du 13 septembre 2024</w:t>
      </w:r>
    </w:p>
    <w:p>
      <w:r>
        <w:t>IT: GE_GERICHTE ACJC/244/2025 del 13 settembre 2024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Interjeté en temps utile, au vu de la date de réception du jugement attaqué selon le suivi des envois de la Poste, et selon les formes prescrites, le recours est recevable.</w:t>
      </w:r>
    </w:p>
    <w:p>
      <w:r>
        <w:rPr>
          <w:b/>
        </w:rPr>
        <w:t>E. 1.3</w:t>
      </w:r>
    </w:p>
    <w:p>
      <w:r>
        <w:t>Selon l'art. 326 al. 1 CPC, les allégations de faits et les preuves nouvelles sont irrecevables. Les pièces nouvelles produite devant la Cour sont donc irrecevables.</w:t>
      </w:r>
    </w:p>
    <w:p>
      <w:r>
        <w:t>- 4/7 -</w:t>
      </w:r>
    </w:p>
    <w:p>
      <w:r>
        <w:t>C/9978/2024</w:t>
      </w:r>
    </w:p>
    <w:p>
      <w:r>
        <w:rPr>
          <w:b/>
        </w:rPr>
        <w:t>E. 1.4</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1.5</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La recourante soutient avoir conclu un contrat avec l'intimée pour lequel elle est en droit de réclamer des honoraires. Elle invoque à l'appui de ses conclusions en mainlevée le fait que les parties ont eu la volonté de se lier contractuellement, que le tarif horaire a été annoncé à l'intimée, laquelle a versé une provision et lui avait donné des instructions. Ces différents éléments constituaient une reconnaissance de dette au sens de l'art. 82 LP, comme cela résultait de la jurisprudence de la Cour de justice du 27 avril 1964, publiée à la Semaine judiciaire 1965, p. 397.</w:t>
      </w:r>
    </w:p>
    <w:p>
      <w:r>
        <w:rPr>
          <w:b/>
        </w:rPr>
        <w:t>E. 2.1.1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Une reconnaissance de dette peut résulter du rapprochement de plusieurs pièces, dans la mesure où les éléments nécessaires en résultent (ATF 139 III 297 consid. 2.3.1; 136 III 627 consid. 2 et la référence). Pour valoir titre de mainlevée provisoire, une reconnaissance de dette doit chiffrer de manière précise le montant de la prétention déduite en poursuite ou renvoyer à un document écrit qui permet au juge de la mainlevée de déterminer avec exactitude le montant dû. La créance doit être déterminée ou déterminable au moment de la signature de la reconnaissance de dette (ABBET/VEUILLET, La mainlevée de l'opposition, 2ème éd., 2022, n. 47 et 48 ad art. 82 LP).</w:t>
      </w:r>
    </w:p>
    <w:p>
      <w:r>
        <w:rPr>
          <w:b/>
        </w:rPr>
        <w:t>E. 2.1.2</w:t>
      </w:r>
    </w:p>
    <w:p>
      <w:r>
        <w:t>Un contrat écrit justifie en principe la mainlevée provisoire de l'opposition pour la somme d'argent incombant au poursuivi lorsque les conditions d'exigibilité de la dette sont établies (ATF 145 III 20, consid. 4.1.1).</w:t>
      </w:r>
    </w:p>
    <w:p>
      <w:r>
        <w:t>- 5/7 -</w:t>
      </w:r>
    </w:p>
    <w:p>
      <w:r>
        <w:t>C/9978/2024 Le contrat de mandat à titre onéreux constitue ainsi une reconnaissance de dette pour la rétribution du mandataire si cette rétribution est chiffrée de façon précise dans le titre lui-même ou dans un écrit annexé auquel le titre se rapporte. Tel n'est pas le cas d'un procuration d'avocat qui renvoie à un tarif horaire (ABBET/VEUILLET, op. cit., n. 187 ad art. 82 LP; STAEHELIN, Basler Kommentar, SchKG I, 3ème éd., 2021, n. 187 ad art. 82 LP). Constitue en revanche un titre de mainlevée le décompte d'honoraires contresigné par le mandant ou approuvé par lui dans une déclaration signée par lui (ABBET/VEUILLET, eo loc., avec référence aux arrêts du Tribunal fédéral 5A_309/2015 du 1er octobre 2015, consid. 3 et 5A_892 2015 du 16 février 2016, consid. 4.3). Des factures ne valent pas reconnaissance de dette et ce, même si elles ne sont pas contestées (arrêt du Tribunal fédéral 5P.290/2006 du 12 octobre 2006 consid. 3.2).</w:t>
      </w:r>
    </w:p>
    <w:p>
      <w:r>
        <w:rPr>
          <w:b/>
        </w:rPr>
        <w:t>E. 2.1.3</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w:t>
      </w:r>
    </w:p>
    <w:p>
      <w:r>
        <w:rPr>
          <w:b/>
        </w:rPr>
        <w:t>E. 2.2</w:t>
      </w:r>
    </w:p>
    <w:p>
      <w:r>
        <w:t>En l'espèce, les parties sont liées par un contrat de mandat et des prestations ont été fournies pour lesquelles une rémunération est en principe due, compte tenu de la nature professionnelle des services fournis et l'intimée a d'ailleurs fourni une provision sur honoraires. Cela étant, ces éléments ne sont pas suffisants pour que la recourante puisse obtenir gain de cause dans le cadre de la présente procédure de mainlevée (indépendamment de la question d'une inexécution ou d'une mauvaise exécution du contrat), le but de cette procédure étant uniquement d'examiner, d'office, l'existence d'une reconnaissance de dette et non d'une créance. Le contrat de mandat conclu entre les parties et signé par l'intimée ne fixe pas le montant des honoraires pour lesquels cette dernière est poursuivie, de sorte qu'il ne constitue pas une reconnaissance de dette au sens de l'art. 82 LP, même si un tarif horaire a été annoncé à l'intimée et que celle-ci a versé une provision. Les honoraires réclamés résultent uniquement de factures, qui ne sont pas signées par l'intimée et ne valent pas non plus reconnaissance de dette au sens de l'art. 82 LP.</w:t>
      </w:r>
    </w:p>
    <w:p>
      <w:r>
        <w:t>- 6/7 -</w:t>
      </w:r>
    </w:p>
    <w:p>
      <w:r>
        <w:t>C/9978/2024 De plus, contrairement à ce que soutient la recourante, la jurisprudence de la Cour ne considère pas que, de manière générale, le mandat d'avocat établi par procuration vaut titre de mainlevée pour les honoraires dudit avocat. En effet, la décision publiée à la Semaine judiciaire 1965, p. 397 invoquée – outre le fait qu'elle a été rendue par le Tribunal de première instance et non la Cour de justice – traite d'un cas particulier, dans lequel les honoraires de l'avocat avaient été préalablement taxés par différentes autorités. Le Tribunal en a dès lors conclu que la preuve de l'exécution du mandat avait été apportée et que la procuration valait titre de mainlevée au sens de l'art. 82 LP, "dès lors qu'elle est assortie des décisions de l'autorité compétente, qui se sont prononcées sur la quotité de la prestation que la citée s'était engagée, en principe, à fournir au requérant et dès lors que celle-ci ne soulève pas d'exception tirée de l'inexécution du contrat" (SJ 1965, p. 400). La présente cause n'est pas comparable au cas particulier faisant l'objet de la décision précitée et la recourante ne peut se prévaloir de cette jurisprudence. La recourante ne peut enfin pas se prévaloir du fait que l'intimé n'aurait pas contesté ses factures, étant relevé que si cette dernière a indiqué par courriel (lequel ne comporte pas de signature manuscrite), qu'elle recherchait un moyen pour les payer, elle a également, par la suite, contesté les notes d'honoraires de la recourante et saisi la Commission en matière d'honoraires d'avocats. Dès lors, au vu de ce qui précède, la recourante ne dispose pas de reconnaissance de dette signée par l'intimée pour les montants réclamés à titre d'honoraires. Le recours n'est ainsi pas fondé, de sorte qu'il sera rejeté.</w:t>
      </w:r>
    </w:p>
    <w:p>
      <w:r>
        <w:rPr>
          <w:b/>
        </w:rPr>
        <w:t>E. 3</w:t>
      </w:r>
    </w:p>
    <w:p>
      <w:r>
        <w:t>La recourante, qui succombe, sera condamnée aux frais du recours (art. 106 al. 1 CPC). Les frais judiciaires seront arrêtés à 600 fr. (art. 48 et 61 al. 1 OELP) et compensés avec l'avance versée par la recourante, laquelle reste acquise à l'Etat de Genève (art. 111 al. 1 CPC). Il ne sera pas alloué de dépens à l'intimée qui comparaît en personne et n'a pas allégué avoir effectué des démarches le justifiant (art. 95 al. 3 let. c CPC). * * * * *</w:t>
      </w:r>
    </w:p>
    <w:p>
      <w:r>
        <w:t>- 7/7 -</w:t>
      </w:r>
    </w:p>
    <w:p>
      <w:r>
        <w:t>C/9978/2024 PAR CES MOTIFS, La Chambre civile : A la forme : Déclare recevable le recours interjeté par A______ contre le jugement JTPI/10882/2024 rendu le 13 septembre 2024 par le Tribunal de première instance dans la cause C/9978/2024–23 SML. Au fond : Rejette ce recours. Déboute les parties de toutes autres conclusions. Sur les frais : Met à la charge de A______ les frais judiciaires de recours, arrêtés à 600 fr. et compensés avec l'avance versée, acquise à l'État de Genève. Dit qu'il n'est pas alloué de dépens de recours. Siégeant : Monsieur Laurent RIEBEN, président; Madame Fabienne GEISINGER-MARIETHOZ, Monsieur Ivo BUETTI, juges; Madame Laura SESSA,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