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ACJC/244/2017 vom 6. März 2017</w:t>
      </w:r>
    </w:p>
    <w:p>
      <w:r>
        <w:t>GE Cour de justice, 2017-03-06, FR</w:t>
      </w:r>
    </w:p>
    <w:p>
      <w:r>
        <w:rPr>
          <w:b/>
        </w:rPr>
        <w:t xml:space="preserve">Quelle: </w:t>
      </w:r>
      <w:r>
        <w:t>https://mcp.opencaselaw.ch/entscheid/ge_gerichte_ACJC_244_2017</w:t>
      </w:r>
    </w:p>
    <w:p>
      <w:r>
        <w:t>FR: GE_GERICHTE ACJC/244/2017 du 6 mars 2017</w:t>
      </w:r>
    </w:p>
    <w:p>
      <w:r>
        <w:t>IT: GE_GERICHTE ACJC/244/2017 del 6 marzo 2017</w:t>
      </w:r>
    </w:p>
    <w:p>
      <w:pPr>
        <w:pStyle w:val="Heading2"/>
      </w:pPr>
      <w:r>
        <w:t>Regeste</w:t>
      </w:r>
    </w:p>
    <w:p>
      <w:r>
        <w:t>Résumé: RESTITUTION ANTICIPÉE - PRÉAVIS PRÉVU PAR LE CONTRAT-CADRE La formulation du second alinéa de l'article 9 du CCR "Dans un tel cas, le locataire doit respecter au minimum un préavis d'un mois [...]" se rapporte à l'alinéa précédent dans son entier, soit à la résiliation anticipée de manière générale et non pas seulement dans le cas où le bailleur s'oppose à la candidature du locataire de remplacement qui lui est présentée.</w:t>
      </w:r>
    </w:p>
    <w:p>
      <w:pPr>
        <w:pStyle w:val="Heading2"/>
      </w:pPr>
      <w:r>
        <w:t>Volltext</w:t>
      </w:r>
    </w:p>
    <w:p>
      <w:r>
        <w:t>Résumé: RESTITUTION ANTICIPÉE - PRÉAVIS PRÉVU PAR LE CONTRAT-CADRE La formulation du second alinéa de l'article 9 du CCR "Dans un tel cas, le locataire doit respecter au minimum un préavis d'un mois [...]" se rapporte à l'alinéa précédent dans son entier, soit à la résiliation anticipée de manière générale et non pas seulement dans le cas où le bailleur s'oppose à la candidature du locataire de remplacement qui lui est présentée.</w:t>
      </w:r>
    </w:p>
    <w:p>
      <w:r>
        <w:t>Descripteurs: Descripteurs: BAIL À LOYER; RÉSILIATION; RESTITUTION ANTICIPÉE; DÉLAI DE RÉSILIATION ; CONTRAT-CADRE</w:t>
      </w:r>
    </w:p>
    <w:p>
      <w:r>
        <w:t>Normes: Normes: CO.264; CCR.9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