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ACJC/243/2021 vom 1. März 2021</w:t>
      </w:r>
    </w:p>
    <w:p>
      <w:r>
        <w:t>GE Cour de justice, 2021-03-01, FR</w:t>
      </w:r>
    </w:p>
    <w:p>
      <w:r>
        <w:rPr>
          <w:b/>
        </w:rPr>
        <w:t xml:space="preserve">Quelle: </w:t>
      </w:r>
      <w:r>
        <w:t>https://mcp.opencaselaw.ch/entscheid/ge_gerichte_ACJC_243_2021</w:t>
      </w:r>
    </w:p>
    <w:p>
      <w:r>
        <w:t>FR: GE_GERICHTE ACJC/243/2021 du 1 mars 2021</w:t>
      </w:r>
    </w:p>
    <w:p>
      <w:r>
        <w:t>IT: GE_GERICHTE ACJC/243/2021 del 1 marzo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w:t>
      </w:r>
    </w:p>
    <w:p>
      <w:r>
        <w:t>- 4/10 -</w:t>
      </w:r>
    </w:p>
    <w:p>
      <w:r>
        <w:t>C/21614/2019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en prenant en compte uniquement la durée de protection de trois ans et le montant du loyer, charges non comprises, la valeur litigieuse est largement supérieure à 10'000 fr. (42'000 fr. x 3 = 126'000 fr.), de sorte que l'appel est ouvert.</w:t>
      </w:r>
    </w:p>
    <w:p>
      <w:r>
        <w:rPr>
          <w:b/>
        </w:rPr>
        <w:t>E. 1.3</w:t>
      </w:r>
    </w:p>
    <w:p>
      <w:r>
        <w:t>Les appels ont été interjetés dans le délai et suivant la forme prescrits par la loi (art. 130, 131, 311 al. 1 CPC). Ils sont ainsi recevables. Par économie de procédure, les deux appels seront traités dans le même arrêt (art. 125c CPC). A______ sera désigné comme appelant et B______ comme intimé.</w:t>
      </w:r>
    </w:p>
    <w:p>
      <w:r>
        <w:rPr>
          <w:b/>
        </w:rPr>
        <w:t>E. 2</w:t>
      </w:r>
    </w:p>
    <w:p>
      <w:r>
        <w:t>Selon l'art. 317 al. 1 CPC, les faits et moyens de preuve nouveaux en appel ne sont pris en compte que (a.) s'ils sont invoqués ou produits sans retard et (b.) s'ils ne pouvaient être invoqués ou produits devant la première instance bien que la partie qui s'en prévaut ait fait preuve de la diligence requise. En l'espèce, l'appelant a produit un moyen de preuve nouveau, soit la pièce C, portant sur la répartition de son chiffre d'affaires. L'intimé a pour sa part allégué un fait nouveau au paragraphe 17 de son mémoire d'appel portant sur une décision de l'Office des autorisations de construire datée du 27 février 2020. La question de la recevabilité des faits et moyens de preuve nouveaux peut cependant demeurer indécise, dès lors qu'ils ne sont pas pertinents à ce stade au vu des considérants qui suivent.</w:t>
      </w:r>
    </w:p>
    <w:p>
      <w:r>
        <w:rPr>
          <w:b/>
        </w:rPr>
        <w:t>E. 3</w:t>
      </w:r>
    </w:p>
    <w:p>
      <w:r>
        <w:t>L'appelant et l'intimé contestent le jugement attaqué en tant que le Tribunal a dénié sa compétence ratione materiae. L'appelant se plaint d'une violation de son droit d'être entendu, le Tribunal n'ayant pas instruit la question de la nature du contrat liant les parties.</w:t>
      </w:r>
    </w:p>
    <w:p>
      <w:r>
        <w:t>- 5/10 -</w:t>
      </w:r>
    </w:p>
    <w:p>
      <w:r>
        <w:t>C/21614/2019</w:t>
      </w:r>
    </w:p>
    <w:p>
      <w:r>
        <w:rPr>
          <w:b/>
        </w:rPr>
        <w:t>E. 3.1.1</w:t>
      </w:r>
    </w:p>
    <w:p>
      <w:r>
        <w:t>Selon les art. 29 al. 2 Cst et 53 CPC, les parties ont le droit d'être entendues. Le droit d'être entendu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arrêt du Tribunal fédéral 4D_10/2008 du 12 mars 2008 consid. 3). Le droit d'être entendu est une garantie constitutionnelle de caractère formel dont la violation entraîne en principe l'annulation de la décision attaquée indépendamment des chances de succès du recourant sur le fond (ATF 133 I 201 consid. 2.2; arrêt du Tribunal fédéral 2C_306/2012 du 18 juillet 2012 consid. 3.1). La jurisprudence admet qu'une violation du droit d'être entendu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arrêt du Tribunal fédéral 2C_306/2012 du 18 juillet 2012 consid. 3.1). Le juge applique le droit d'office (art. 57 CPC). Les parties doivent cependant aussi être entendues sur les questions de droit lorsque le juge s'apprête à se fonder sur une norme ou un motif jamais discuté jusque-là, et dont celles-ci n'avaient raisonnablement pas à prévoir la prise en compte (ATF 129 II 497 consid. 2.2, 130 III 35 consid. 5; arrêt du Tribunal fédéral 4A_548/2013 du 31 mars 2014 consid. 3.5). 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CPC, Commentaire romand, 2019, n. 3 ad art. 244 CPC).</w:t>
      </w:r>
    </w:p>
    <w:p>
      <w:r>
        <w:t>- 6/10 -</w:t>
      </w:r>
    </w:p>
    <w:p>
      <w:r>
        <w:t>C/21614/2019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rPr>
          <w:b/>
        </w:rPr>
        <w:t>E. 3.1.2</w:t>
      </w:r>
    </w:p>
    <w:p>
      <w:r>
        <w:t>En l'espèce, le Tribunal a tenu une audience dont l'objet, à teneur de la convocation, était sa compétence à raison de la matière. Compte tenu des indications particulièrement sommaires figurant au procès-verbal de cette audience, il n'est pas possible à la Cour de vérifier si les parties ont eu l'occasion de s'exprimer sur ce point, ni quelles conclusions elles ont prises, et ainsi de savoir si leur droit d'être entendu a été respecté. Il semble cependant que le Tribunal n'a procédé à aucun acte d'instruction. Cela étant, compte tenu du pouvoir de cognition complet de la Cour et de la solution du présent arrêt, il n'y a pas lieu d'examiner cette question plus avant.</w:t>
      </w:r>
    </w:p>
    <w:p>
      <w:r>
        <w:rPr>
          <w:b/>
        </w:rPr>
        <w:t>E. 3.2.1.1</w:t>
      </w:r>
    </w:p>
    <w:p>
      <w:r>
        <w:t>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 L'art. 89 al. 1 let. a LOJ, entré en vigueur le 1er janvier 2011,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applicables à l'art. 89 al. 1 let. a LOJ. D'une manière générale, la Cour de céans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w:t>
      </w:r>
    </w:p>
    <w:p>
      <w:r>
        <w:t>- 7/10 -</w:t>
      </w:r>
    </w:p>
    <w:p>
      <w:r>
        <w:t>C/21614/2019 la notion de "litiges relatifs aux baux et loyers" comprend toute prétention qui se fonde sur un état de faits relevant du droit du bail ou pouvant tomber sous le coup du droit du bail selon les titres VIIIème et VIIIème bis CO (ATF 120 II 112 consid. 3b/aa; arrêt du Tribunal fédéral 4P_155/2005 du 21 septembre 2005 consid. 3.3 et les références citées; arrêt de la Cour de justice du 14 novembre 1997, publié in SJ 1998 p. 381 consid. 2b).</w:t>
      </w:r>
    </w:p>
    <w:p>
      <w:r>
        <w:rPr>
          <w:b/>
        </w:rPr>
        <w:t>E. 3.2.1.2</w:t>
      </w:r>
    </w:p>
    <w:p>
      <w:r>
        <w:t>Les contrats innommés sont ceux dont tout ou partie des éléments constitutifs n'est pas ordonnée par la loi ou ne l'est pas dans sa synthèse spécifique (THEVENOZ/DE WERRA, in Commentaire romand, CO I, 2ème éd. 2012, n. 10 ad Intro. art. 184-529 CO). Parmi ces contrats, on distingue notamment les contrats composés ou complexes pour désigner un ensemble de contrats distincts relevant de plusieurs types de contrats nommés, qui ont été conclus en même temps par les mêmes parties pour une échéance identique et dont un des éléments est l'auxiliaire de l'autre. Dans cette hypothèse, les contrats précités peuvent, dans l'idée des parties, former une unité juridique et économique indissociable, ce qui justifie de les appréhender comme un seul et unique accord (ATF 131 III 528 consid. 7.1.1; 118 II 157 consid. 3a; ACJC/348/2017 du 24 mars 2017 consid. 3.1.3; ACJC/196/1997 du 21 février 1997 consid. 3; ENGEL, Contrats de droit suisse, 2ème éd., 2000, p. 741). En présence d'un tel contrat composé ou complexe, il est contraire au principe de l'application du droit d'office (art. 57 CPC) d'imposer à une partie de porter une même prétention devant des juridictions distinctes. Le principe qui prévaut alors est celui de l'attraction de compétence au profit de la juridiction compétente ratione materiae selon le caractère prédominant de l'action (ATF 118 II 157 consid. 3a; 92 II 305 consid. 5; ACJC/1245/2008 du 17 octobre 2008 consid. 2.1; ACJC/1380/2004 du 12 novembre 2004 consid. 2; ACJC/196/1997 du 21 février 1997 consid. 3 et les références citées; THEVENOZ/ DE WERRA, op. cit., n. 22 ss ad Intro. art. 184-529 CO). Selon l'art. 253 CO, le bail à loyer est un contrat par lequel le bailleur s'oblige à céder l'usage d'une chose au locataire, moyennant un loyer. Le bail à ferme agricole est un contrat par lequel le bailleur s'oblige à remettre au fermier, moyennant un fermage, l'usage d'une entreprise ou d'un immeuble à des fins agricoles et à lui en laisser percevoir les fruits ou les produits (art. 4 LBFA par renvoi de l'art. 276a CO). En cas de contrats composés, réunissant diverses conventions distinctes mais dépendantes entre elles, ou de contrats mixtes contenant d'autres éléments que ceux ayant trait au bail à loyer, il convient de rechercher le centre de gravité des relations contractuelles, appréhendées comme un seul et unique accord. Compte</w:t>
      </w:r>
    </w:p>
    <w:p>
      <w:r>
        <w:t>- 8/10 -</w:t>
      </w:r>
    </w:p>
    <w:p>
      <w:r>
        <w:t>C/21614/2019 tenu de leur dépendance réciproque, il n'est en effet pas possible de soumettre chaque composante du contrat à un sort juridique propre, ce qui n'est pas sans incidence sur l'extinction du contrat. Dans un cas d'espèce, il s'agit d'examiner quelle est la portée de chacun des éléments du contrat mixte ou des contrats composés eu égard à la situation juridique globale. Pour ce faire, il convient de partir de l'intérêt des parties tel que celles-ci l'ont exprimé dans leur engagement et, ainsi, de déterminer leur volonté interne concordante sans s'arrêter aux expressions ou dénominations inexactes dont elles ont pu se servir (art. 18 al. 1 CO) ou, à défaut, d'interpréter leurs déclarations de volonté selon le principe de la confiance (arrêt du Tribunal fédéral du 28 octobre 1997 in SJ 1998 I 320 consid. 4b; BOHNET/MONTINI, Droit du bail à loyer, Bâle, 2017, n° 7 ad art. 274a).</w:t>
      </w:r>
    </w:p>
    <w:p>
      <w:r>
        <w:rPr>
          <w:b/>
        </w:rPr>
        <w:t>E. 3.2.2</w:t>
      </w:r>
    </w:p>
    <w:p>
      <w:r>
        <w:t>Dans le cas présent, se pose la question de savoir si les parties sont liées par un contrat de bail à loyer (art. 253 CO) ou un contrat de bail à ferme agricole (art. 4 LBFA). Les parties ont conclu un contrat de bail portant sur des surfaces destinées à l'usage d'une exploitation horticole et paysagère. Le Tribunal a considéré que l'activité d'horticulture productrice pouvait être assimilée à une entreprise agricole au sens de l'art. 7 al. 2 LDFR, ce qui n'a pas été contesté ni par l'appelant ni par l'intimé. Ainsi, en cédant l'usage de serres et de pépinières aux fins de permettre l'exercice d'une activité d'horticulture productrice, le bail conclu entre les parties présentait des caractéristiques de bail à ferme agricole (art. 4 LBFA). Cela étant, le Tribunal n'a pas traité de la question de la destination paysagère des parcelles alors même qu'il s'agit d'un élément essentiel du contrat. Il n'est ainsi pas clairement établi si l'activité paysagère, pratiquée sur les parcelles litigieuses, revêt un caractère agricole ou commercial, ou en d'autres termes, si le contrat pouvait être qualifié de bail à ferme agricole exclusivement ou de contrat mixte présentant à la fois des éléments de bail à ferme agricole et de bail à loyer commercial. Dans ce dernier cas, le centre de gravité du contrat devra ensuite être recherché. Les pièces produites et les faits allégués en première instance ne suffisent pas pour déterminer la réelle volonté des parties à ce sujet. Les premiers juges ont ainsi erré en se limitant à prendre en considération certains indices, tels que l'emplacement des parcelles en zone agricole et le délai de résiliation du contrat, pour conclure à l'existence d'un contrat de bail à ferme agricole.</w:t>
      </w:r>
    </w:p>
    <w:p>
      <w:r>
        <w:t>- 9/10 -</w:t>
      </w:r>
    </w:p>
    <w:p>
      <w:r>
        <w:t>C/21614/2019 Il se justifie dès lors de renvoyer la cause aux premiers juges, afin qu'ils instruisent les questions qui précèdent et rendent une nouvelle décision, dans le sens des considérants (art. 318 al. 1 let. c CPC).</w:t>
      </w:r>
    </w:p>
    <w:p>
      <w:r>
        <w:rPr>
          <w:b/>
        </w:rPr>
        <w:t>E. 4</w:t>
      </w:r>
    </w:p>
    <w:p>
      <w:r>
        <w:t>A teneur de l'art. 22 al. 1 LaCC, il n'est pas prélevé de frais dans les causes soumises à la juridiction des baux et loyers (ATF 139 III 182 consid. 2.6). * * * * *</w:t>
      </w:r>
    </w:p>
    <w:p>
      <w:r>
        <w:t>- 10/10 -</w:t>
      </w:r>
    </w:p>
    <w:p>
      <w:r>
        <w:t>C/21614/2019 PAR CES MOTIFS, La Chambre des baux et loyers : A la forme : Déclare recevable l'appel interjeté le 11 juin 2020 par A______ contre le jugement JTBL/277/2020 rendu le 24 avril 2020 par le Tribunal des baux et loyers dans la cause C/21614/2019. Déclare recevable l'appel interjeté le 12 juin 2020 par B______ contre le même jugement. Au fond : Annule le jugement attaqué. Renvoie la cause au Tribunal pour complément d'instruction et nouvelle décision dans le sens des considérants. Dit que la procédure est gratuite. Déboute les parties de toutes autres conclusions. Siégeant : Monsieur Ivo BUETTI, président; Madame Pauline ERARD et Madame Fabienne GEISINGER-MARIETHOZ, juges; Madame Laurence CRUCHON et Monsieur Serge PATEK,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