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ACJC/242/2024 vom 4. März 2024</w:t>
      </w:r>
    </w:p>
    <w:p>
      <w:r>
        <w:t>GE Cour de justice, 2024-03-04, FR</w:t>
      </w:r>
    </w:p>
    <w:p>
      <w:r>
        <w:rPr>
          <w:b/>
        </w:rPr>
        <w:t xml:space="preserve">Quelle: </w:t>
      </w:r>
      <w:r>
        <w:t>https://mcp.opencaselaw.ch/entscheid/ge_gerichte_ACJC_242_2024</w:t>
      </w:r>
    </w:p>
    <w:p>
      <w:r>
        <w:t>FR: GE_GERICHTE ACJC/242/2024 du 4 mars 2024</w:t>
      </w:r>
    </w:p>
    <w:p>
      <w:r>
        <w:t>IT: GE_GERICHTE ACJC/242/2024 del 4 marzo 2024</w:t>
      </w:r>
    </w:p>
    <w:p>
      <w:pPr>
        <w:pStyle w:val="Heading2"/>
      </w:pPr>
      <w:r>
        <w:t>Erwägungen</w:t>
      </w:r>
    </w:p>
    <w:p>
      <w:r>
        <w:rPr>
          <w:b/>
        </w:rPr>
        <w:t>E. 8</w:t>
      </w:r>
    </w:p>
    <w:p>
      <w:r>
        <w:t>novembre (1'780 fr.), 30 décembre 2022 (3'560 fr.), 8 février 2023 (1780 fr.) et 19 juin 2023 (8'900 fr.) par son frère H______ à la régie K______, ainsi qu'une fiche "d'attribution" et facture établie par I______ le 23 décembre 2021, concernant la sous-location par H______ d'un appartement de 3,5 pièces sis rue 3______ no. ______ à Genève, et une entrée dans celui-ci au 1er décembre (2022). Elle porte la signature de H______. Cette signature n'est pas similaire à celle figurant dans le contrat de bail et l'avis de fixation du loyer. Le représentant des bailleurs a persisté dans les conclusions de ces derniers, amplifiant, décompte produit à l'appui, les conclusions en paiement à 5'822 fr. 05. Le Tribunal a gardé la cause à juger à l'issue de l'audience. EN DROIT 1. 1.1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w:t>
      </w:r>
    </w:p>
    <w:p>
      <w:r>
        <w:t>- 5/9 -</w:t>
      </w:r>
    </w:p>
    <w:p>
      <w:r>
        <w:t>C/12046/2023 Les contestations portant sur l'usage d'une chose louée sont de nature pécuniaire (arrêt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1.2 En l'espèce, l'appelant remet en cause la validité du contrat et partant du congé, soutenant qu'il ne serait pas partie au rapport de bail. Eu égard au montant du loyer, la valeur litigieuse est supérieure à 10'000 fr., de sorte que la voie de l'appel est ouverte contre le prononcé de l'évacuation.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Seule la voie du recours est ouverte contre les décisions du Tribunal de l'exécution (art. 309 let. a et 319 let. a CPC). Le recours contre les mesures d'exécution est ainsi recevable. Le recours est recevable pour violation du droit et constatation manifestement inexacte des faits (art. 320 CPC). 1.6 L'appel et le recours seront traités dans le présent arrêt (art. 125 CPC). 2. L'appelant se plaint de constatations manifestement inexactes des faits. L'état de fait dressé ci-avant a été complété, respectivement modifié en conséquence. 3. L'appelant reproche au Tribunal d'avoir considéré que le cas était clair et d'avoir prononcé son évacuation. Il soutient ne pas avoir signé le contrat de bail, de sorte</w:t>
      </w:r>
    </w:p>
    <w:p>
      <w:r>
        <w:t>- 6/9 -</w:t>
      </w:r>
    </w:p>
    <w:p>
      <w:r>
        <w:t>C/12046/2023 qu'il avait fait valoir une objection motivée et concluante. La requête devait en conséquence être déclarée irrecevable. 3.1.1 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3.1.2 La réglementation de droit matériel mise en place par le législateur à l’art. 257d CO signifie que le locataire mis en demeure doit évacuer l’objet loué dans les plus brefs délais s’il ne paie pas le loyer en retard. Une prolongation du bail est exclue de par la loi (art. 272a al. 1 let. a CO). 3.2 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4A_195/2023 du 24 juillet 2023 consid. 3.1; 4A_523/2022 du 9 mai 2023 consid. 3.2; 4A_385/2022 du 14 février 2023 consid. 3.2, 4A_282/2015 du 27 juillet 2015 consid. 2.1). 3.2.1 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 3.2.2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arrêt du Tribunal fédéral 4A_195/2023 du</w:t>
      </w:r>
    </w:p>
    <w:p>
      <w:r>
        <w:t>- 7/9 -</w:t>
      </w:r>
    </w:p>
    <w:p>
      <w:r>
        <w:t>C/12046/2023 24 juillet 2023 consid. 3).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Il appartient au bailleur, conformément à l’art. 8 CC, d’alléguer et de prouver les conditions de l’art. 257d CO (faits générateurs de droit; rechtserhebende Tatsachen), conformément aux exigences de l’art. 257 CPC. En revanche, il incombe au locataire d’invoquer les faits dirimants ou destructeurs (rechtshindernde oder rechtsvernichtende Tatsachen) en invoquant des objections ou des exceptions (Einwendungen oder Einreden) telle l’extinction de sa dette ou la compensation avec une contre-créance. 3.3 En l'espèce, l'appelant soutient que son objection, soit le fait qu'il ait allégué ne pas avoir signé le contrat de bail et l'avis de fixation du loyer, sa signature ayant été imitée, est motivée et concluante, et qu'elle fait obstacle à la clarté du cas. Si, certes, l'appelant a allégué ces faits, il n'a toutefois produit aucun titre à l'appui de ses allégations, permettant notamment de comparer sa signature avec celles apposées sur les pièces versées à la procédure. Par ailleurs, et comme l'a retenu à bon droit le Tribunal, ses déclarations selon lesquelles son frère aurait obtenu le contrat litigieux par l'intermédiaire de I______ sont contredites par la pièce qu'il a lui-même produite, soit l'attribution, dès décembre 2021, d'un logement de trois pièces situé à une autre adresse que l'appartement en cause par cet intermédiaire. Le fait que ce soit le frère de l'appelant qui ait procédé au paiement d'une partie</w:t>
      </w:r>
    </w:p>
    <w:p>
      <w:r>
        <w:t>- 8/9 -</w:t>
      </w:r>
    </w:p>
    <w:p>
      <w:r>
        <w:t>C/12046/2023 des loyers ne permet pas, à lui seul, de retenir que l'appelant ne serait pas titulaire du contrat de bail en cause. De plus, les mise en demeure, congé et citations qui n'ont pas été retirés à la poste par l'intéressé dans le délai de garde, ont été envoyés à l'appelant à l'adresse du logement. Il n'est pas fait mention de ce que l'appelant ne serait pas domicilié à cette adresse. Par ailleurs, les explications de l'appelant concernant l'établissement de la garantie de loyer ne convainquent pas. Il n'explicite au demeurant pas comment cette garantie avait pu être émise, à son nom, concernant l'appartement litigieux, sans qu'il n'ait pris contact avec l'organisme en cause, ni produit de documents, en particulier le contrat de bail et une pièce d'identité. Par conséquent, les objections de l'appelant ne peuvent pas être considérées comme motivées et concluantes. C'est dès lors à bon droit que le Tribunal a considéré que les conditions du cas clair étaient réunies. L'appelant n'a pour le surplus pas remis en cause les conditions d'une résiliation pour défaut de paiement. 3.4 Les griefs de l'appelant se révèlent ainsi infondés, de sorte que le jugement sera confirmé. 4. A teneur de l'art. 22 al. 1 LaCC, il n'est pas prélevé de frais dans les causes soumises à la juridiction des baux et loyers (ATF 139 III 182 consid. 2.6). * * * * *</w:t>
      </w:r>
    </w:p>
    <w:p>
      <w:r>
        <w:t>- 9/9 -</w:t>
      </w:r>
    </w:p>
    <w:p>
      <w:r>
        <w:t>C/12046/2023 PAR CES MOTIFS, La Chambre des baux et loyers : A la forme : Déclare recevables l'appel et le recours interjetés le 16 novembre 2023 par A______ contre le jugement JTBL/908/2023 rendu le 31 août 2023 par le Tribunal des baux et loyers dans la cause C/12046/2023-14-SE. Au fond : Confirme ce jugement. Dit que la procédure est gratuite. Déboute les parties de toutes autres conclusions. Siégeant : Madame Nathalie LANDRY-BARTHE, présidente; Madame Sylvie DROIN et Monsieur Laurent RIEBEN, juges; Monsieur Nicolas DAUDIN, Madame Zoé SEILER,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