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ACJC/239/2026 vom 10. Februar 2026</w:t>
      </w:r>
    </w:p>
    <w:p>
      <w:r>
        <w:t>GE Cour de justice, 2026-02-10, FR</w:t>
      </w:r>
    </w:p>
    <w:p>
      <w:r>
        <w:rPr>
          <w:b/>
        </w:rPr>
        <w:t xml:space="preserve">Quelle: </w:t>
      </w:r>
      <w:r>
        <w:t>https://mcp.opencaselaw.ch/entscheid/ge_gerichte_ACJC_239_2026</w:t>
      </w:r>
    </w:p>
    <w:p>
      <w:r>
        <w:t>FR: GE_GERICHTE ACJC/239/2026 du 10 février 2026</w:t>
      </w:r>
    </w:p>
    <w:p>
      <w:r>
        <w:t>IT: GE_GERICHTE ACJC/239/2026 del 10 febbraio 2026</w:t>
      </w:r>
    </w:p>
    <w:p>
      <w:pPr>
        <w:pStyle w:val="Heading2"/>
      </w:pPr>
      <w:r>
        <w:t>Volltext</w:t>
      </w:r>
    </w:p>
    <w:p>
      <w:r>
        <w:t>Le présent arrêt est communiqué aux parties par plis recommandés du 12 février 2026</w:t>
      </w:r>
    </w:p>
    <w:p>
      <w:r>
        <w:t>REPUBLIQUE ET</w:t>
      </w:r>
    </w:p>
    <w:p>
      <w:r>
        <w:t>CANTON DE GENEVE POUVOIR JUDICIAIRE C/22516/2014 ACJC/239/2026 ARRÊT DE LA COUR DE JUSTICE Chambre civile DU MARDI 10 FEVRIER 2026</w:t>
      </w:r>
    </w:p>
    <w:p>
      <w:r>
        <w:t>Entre Monsieur A______, domicilié ______, recourant contre une ordonnance rendue par la 5ème Chambre du Tribunal de première instance de ce canton le 20 janvier 2026, représenté par Me Fabien MINGARD, avocat, place St-François 5, case postale 1374, 1001 Lausanne, et 1) Monsieur B______, domicilié ______, intimé, représenté par Me Patrick HUNZIKER, avocat, RVMH Avocats, rue Gourgas 5, case postale 31, 1211 Genève 8, 2) C______ SA, sise ______, autre intimée, représentée par Me Benjamin BORSODI, avocat, Etude Schellenberg Wittmer SA, rue des Alpes 15bis, case postale 2088, 1211 Genève 1.</w:t>
      </w:r>
    </w:p>
    <w:p>
      <w:r>
        <w:t>- 2/3 -</w:t>
      </w:r>
    </w:p>
    <w:p>
      <w:r>
        <w:t>C/22516/2014 Attendu, EN FAIT, que par ordonnance du 20 janvier 2026, le Tribunal de première instance a condamné A______ à fournir, soit en espèces, soit sous forme de garantie d'une banque établie en Suisse ou d'une société d'assurance autorisée à exercer en Suisse, des sûretés en garantie des dépens d'un montant de 20'000 fr. (ch. 1 du dispositif), dans un délai au 20 février 2026 (ch. 2), mis les frais judiciaires, arrêtés à 1'000 fr., à la charge du précité à hauteur de 50% et à la charge de C______ SA et B______ à hauteur de 50% (ch. 3), condamné en conséquent A______ à payer à C______ SA la somme de 250 fr. et à B______ la somme de 250 fr. (ch. 4) et dit qu'il n'était pas alloué de dépens (ch. 5); Que par acte expédié à la Cour de justice le 2 février 2026, A______ a formé recours contre cette ordonnance; qu'il a conclu à sa réforme en ce sens que la demande de sûretés en garantie des dépens déposée par C______ SA et B______ était rejetée, avec suite de frais de première et seconde instance; Qu'il a conclu, préalablement, à l'octroi de l'effet suspensif à son recours; qu'il a soutenu que le versement des sûretés de 20'000 fr. viderait son recours de son objet et qu'aucun intérêt prépondérant ne justifiait un paiement immédiat; Qu'invités à se déterminer, C______ SA et B______ s'en sont rapportés à justice sur cette requête; Considérant, EN DROIT, que le recours ne suspend pas la force de chose jugée et le caractère exécutoire de la décision attaquée (art. 325 al. 1 CPC); que l'instance de recours peut, sur demande, suspendre le caractère exécutoire si la partie concernée risque de subir un préjudice difficilement réparable (art. 325 al. 2 CPC); Que selon les principes généraux applicables en matière d'effet suspensif, le juge procèdera à une pesée des intérêts en présence et se demandera en particulier si sa décision est de nature à provoquer une situation irréversible (arrêts du Tribunal fédéral 4A_674/2014 du 19 février 2015 consid. 5; 4A_337/2014 du 14 juillet 2014, consid. 3.1); Qu'en l'espèce, il est vraisemblable que les intimés ne subiront pas de préjudice difficilement réparable s'il est fait droit à la requête d'effet suspensif; que ceux-ci ne se sont d'ailleurs pas opposés à cette requête; Qu'au vu de ce qui précède, la Cour, qui dispose d'un large pouvoir d'appréciation, admettra la requête tendant à la suspension du caractère exécutoire de l'ordonnance attaquée; Qu'il sera statué sur les frais de la présente décision dans le cadre de l'arrêt au fond (art. 104 al. 3 CPC). * * * * *</w:t>
      </w:r>
    </w:p>
    <w:p>
      <w:r>
        <w:t>- 3/3 -</w:t>
      </w:r>
    </w:p>
    <w:p>
      <w:r>
        <w:t>C/22516/2014 PAR CES MOTIFS, La Chambre civile : Statuant sur requête de suspension du caractère exécutoire de l'ordonnance entreprise : Admet la requête formée par A______ tendant à suspendre le caractère exécutoire de l'ordonnance OTPI/38/2026 rendu le 20 janvier 2026 par le Tribunal de première instance dans la cause C/22516/2014. Dit qu'il sera statué sur les frais de la présente décision avec la décision sur le fond. Siégeant : Monsieur Laurent RIEBEN, président; Madame Jessica ATHMOUNI, greffière.</w:t>
      </w:r>
    </w:p>
    <w:p>
      <w:r>
        <w:t>Indication des voies de recours :</w:t>
      </w:r>
    </w:p>
    <w:p>
      <w:r>
        <w:t>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