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ACJC/239/2015 vom 18. Dezember 2014</w:t>
      </w:r>
    </w:p>
    <w:p>
      <w:r>
        <w:t>GE Cour de justice, 2014-12-18, FR</w:t>
      </w:r>
    </w:p>
    <w:p>
      <w:r>
        <w:rPr>
          <w:b/>
        </w:rPr>
        <w:t xml:space="preserve">Quelle: </w:t>
      </w:r>
      <w:r>
        <w:t>https://mcp.opencaselaw.ch/entscheid/ge_gerichte_ACJC_239_2015</w:t>
      </w:r>
    </w:p>
    <w:p>
      <w:r>
        <w:t>FR: GE_GERICHTE ACJC/239/2015 du 18 décembre 2014</w:t>
      </w:r>
    </w:p>
    <w:p>
      <w:r>
        <w:t>IT: GE_GERICHTE ACJC/239/2015 del 18 dicembre 2014</w:t>
      </w:r>
    </w:p>
    <w:p>
      <w:pPr>
        <w:pStyle w:val="Heading2"/>
      </w:pPr>
      <w:r>
        <w:t>Volltext</w:t>
      </w:r>
    </w:p>
    <w:p>
      <w:r>
        <w:t>Le présent arrêt est communiqué aux parties par plis recommandés ainsi qu'au Tribunal de première instance le 6 mars 2015.</w:t>
      </w:r>
    </w:p>
    <w:p>
      <w:r>
        <w:t>REPUBLIQUE ET</w:t>
      </w:r>
    </w:p>
    <w:p>
      <w:r>
        <w:t>CANTON DE GENEVE POUVOIR JUDICIAIRE C/26002/2012 ACJC/239/2015 ARRÊT DE LA COUR DE JUSTICE Chambre civile DU MERCREDI 4 MARS 2015</w:t>
      </w:r>
    </w:p>
    <w:p>
      <w:r>
        <w:t>Entre Monsieur A______, domicilié ______ (GE), recourant contre une ordonnance rendue par la 7ème Chambre du Tribunal de première instance de ce canton le 18 décembre 2014, comparant par Me Eric Stämpfli, avocat, 112, route de Florissant, 1206 Genève, en l'étude duquel il fait élection de domicile, et Monsieur B______, domicilié ______ (GE), intimé, comparant par Me Romain Jordan, avocat, 15, rue Général-Dufour, case postale 5556, 1211 Genève 11, en l'étude duquel il fait élection de domicile.</w:t>
      </w:r>
    </w:p>
    <w:p>
      <w:r>
        <w:t>- 2/4 -</w:t>
      </w:r>
    </w:p>
    <w:p>
      <w:r>
        <w:t>C/26002/2012 Vu, EN FAIT, l'ordonnance OTPI/1665/2014 rendue par le Tribunal de première instance le 18 décembre 2014, notifiée le 6 janvier 2015, dans la cause qui oppose A______ à B______, par laquelle le Tribunal a écarté des débats le courrier du 11 mai 2012 produit par ce dernier ainsi que le procès-verbal de l'audience de débats principaux du 7 avril 2014 et réservé la suite de la procédure; Vu le recours déposé le 16 janvier 2015 au greffe de la Cour de justice par A______ contre cette ordonnance, qui conclut à ce que, celle-ci étant mise à néant, il soit dit que les pièces écartées soient maintenues aux débats "en tant qu'elles sont nécessaires à l'établissement des faits et à la recherche de la manifestation de la vérité ainsi qu'à la découverte d'infractions pénales connexes" commises par B______ et son épouse; Que le recourant sollicite l'octroi de l'effet suspensif, exposant qu'il est impérieux que la question de l'admissibilité des pièces soit tranchée avant qu'une décision soit rendue sur le fond, celles-ci étant indispensables pour l'issue du litige; Que l'intimé s'en rapporte à justice au sujet de la requête d'effet suspensif;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w:t>
      </w:r>
    </w:p>
    <w:p>
      <w:r>
        <w:t>- 3/4 -</w:t>
      </w:r>
    </w:p>
    <w:p>
      <w:r>
        <w:t>C/26002/2012 Que selon les principes généraux applicables en matière d'effet suspensif, le juge procèdera à une pesée des intérêts en présence et se demandera en particulier si sa décision est de nature à provoquer une situation irréversible; Qu'en l'espèce, au vu de l'argumentation du recourant, le risque d'un préjudice difficilement réparable n'est pas manifeste; Qu'en effet, le refus de tenir compte des pièces en question pourra, le cas échéant et en cas de jugement défavorable au recourant, être contesté en appel contre le jugement au fond, l'instance d'appel ayant en outre la possibilité d'administrer des preuves (art. 316 al. 3 CPC) ou de renvoyer la cause en première instance pour complément d'instruction (art. 318 al. 1 let. c CPC); Qu'en outre, le seul prolongement de la procédure ne constitue pas un préjudice difficilement réparable; Que le présent recours est donc, prima facie et sans préjudice de l'examen au fond, dénué de chances de succès, car irrecevable; Que, par ailleurs, le recourant n'allègue ni a fortiori ne rend vraisemblable que le refus de l'octroi de l'effet suspensif serait de nature à créer une situation irréversible pour lui;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C/26002/2012 PAR CES MOTIFS, La Chambre civile : Statuant sur suspension de l'exécution : Rejette la requête de A______ tendant à la suspension de l'effet exécutoire attaché à l'ordonnance OTPI/1665/2014 rendue le 18 décembre 2014 par le Tribunal de première instance dans la procédure C/26002/2012-7. Dit qu'il sera statué sur les frais et dépens de l'incident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