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ACJC/237/2020 vom 6. Februar 2020</w:t>
      </w:r>
    </w:p>
    <w:p>
      <w:r>
        <w:t>GE Cour de justice, 2020-02-06, FR</w:t>
      </w:r>
    </w:p>
    <w:p>
      <w:r>
        <w:rPr>
          <w:b/>
        </w:rPr>
        <w:t xml:space="preserve">Quelle: </w:t>
      </w:r>
      <w:r>
        <w:t>https://mcp.opencaselaw.ch/entscheid/ge_gerichte_ACJC_237_2020</w:t>
      </w:r>
    </w:p>
    <w:p>
      <w:r>
        <w:t>FR: GE_GERICHTE ACJC/237/2020 du 6 février 2020</w:t>
      </w:r>
    </w:p>
    <w:p>
      <w:r>
        <w:t>IT: GE_GERICHTE ACJC/237/2020 del 6 febbraio 2020</w:t>
      </w:r>
    </w:p>
    <w:p>
      <w:pPr>
        <w:pStyle w:val="Heading2"/>
      </w:pPr>
      <w:r>
        <w:t>Erwägungen</w:t>
      </w:r>
    </w:p>
    <w:p>
      <w:r>
        <w:rPr>
          <w:b/>
        </w:rPr>
        <w:t>E. 27</w:t>
      </w:r>
    </w:p>
    <w:p>
      <w:r>
        <w:t>juin précédent, ce qui excluait "toute autre prise de position". B______ a dupliqué, persistant dans ses conclusions. Il a, dans le corps de sa duplique, contesté que ses déterminations fussent irrecevables, sans que l'on puisse clairement comprendre s'il admettait ou non avoir pris une "position" orale à l'audience, Sur quoi, la cause a été retenue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art. 55 al. 1, 255 let. a a contrario et 58 al. 1 CPC). 2. La recourante adresse un unique grief au premier juge, soit d'avoir pris en considération les déterminations écrites de l'intimé, lesquelles comportait l'exception de prescription retenue par le Tribunal pour rejeter la requête qui lui</w:t>
      </w:r>
    </w:p>
    <w:p>
      <w:r>
        <w:t>- 4/6 -</w:t>
      </w:r>
    </w:p>
    <w:p>
      <w:r>
        <w:t>C/4033/2019 était soumise. Selon elle, cette exception n'a pas été valablement soulevée, dans la mesure où elle n'a pas été articulée oralement à l'audience par l'intimé. 2.1 L'art. 253 CPC prévoit, pour la procédure sommaire applicable en l'espèce (art. 248 let. e CPC; cf. consid. 1.1supra), que le tribunal donne à la partie adverse l'occasion de se déterminer oralement ou par écrit sur la requête. Le but de cette norme, conformément au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les art. 6 ch. 1 CEDH et 29 al. 1 et 2 Cst. de se prononcer sur toute prise de position de la partie adverse, indépendamment de savoir si elle contient des points nouveaux et pertinents (ATF 144 III 117 consid. 2.1).</w:t>
      </w:r>
    </w:p>
    <w:p>
      <w:r>
        <w:t>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4.1). 2.2 En l'espèce, il est constant que le Tribunal a, dans un premier temps, choisi la voie orale, puisqu'il a, par ordonnance, directement cité les parties à comparaître. L'intimé était présent, avec son avocat, à l'audience fixée, ce qui exclut qu'il soit fait application des dispositions sur le défaut, contrairement aux avis exprimés par les parties, aux détours de leurs écritures de première ou de seconde instances.</w:t>
      </w:r>
    </w:p>
    <w:p>
      <w:r>
        <w:t>La recourante allègue, dans son recours, qu'elle se serait opposée à la recevabilité des déterminations écrites de l'intimé, ce qui aurait amené le Tribunal "à ordonner un second échange d'écritures".</w:t>
      </w:r>
    </w:p>
    <w:p>
      <w:r>
        <w:t>Rien de tel ne résulte toutefois du procès-verbal d'audience. Selon celui-ci, tout en faisant part à l'intimé de son regret de ne pas avoir été informé auparavant, le Tribunal a manifestement modifié le mode de détermination. L'on ne voit pas que le Tribunal ait, ce faisant, alors qu'il est maître du choix de ce mode, mésusé de son pouvoir d'appréciation ni porté atteinte au droit d'être entendue de la recourante, laquelle a pu répliquer par écrit.</w:t>
      </w:r>
    </w:p>
    <w:p>
      <w:r>
        <w:t>- 5/6 -</w:t>
      </w:r>
    </w:p>
    <w:p>
      <w:r>
        <w:t>C/4033/2019</w:t>
      </w:r>
    </w:p>
    <w:p>
      <w:r>
        <w:t>La recourante soutient encore qu'accepter des déterminations écrites à l'audience orale reviendrait à vider de son sens l'audience, causant de la sorte "une perte de temps pour les parties et de célérité des débats". Pareille affirmation n'est pas sans pertinence; elle ne saurait pour autant avoir pour conséquence, au vu des circonstances d'espèce, de rendre irrecevables les déterminations déposées par l'intimé, à l'audience à laquelle il était présent, en lieu et place de conclusions que le premier juge ne l'a en l'occurrence pas acheminé à formuler oralement.</w:t>
      </w:r>
    </w:p>
    <w:p>
      <w:r>
        <w:t>A ce propos, aucune mention du procès-verbal ne permet de retenir que l'intimé aurait exprimé une "position" à l'audience, contrairement à l'allégué de réplique de première instance de la recourante, non clairement admis par l'intimé.</w:t>
      </w:r>
    </w:p>
    <w:p>
      <w:r>
        <w:t>Dès lors, le Tribunal n'a pas admis à tort la recevabilité des déterminations écrites de l'intimé, comportant le moyen que celui-ci tirait de la prescription de la créance en poursuite.</w:t>
      </w:r>
    </w:p>
    <w:p>
      <w:r>
        <w:t>Le seul grief adressé par la recourante à l'endroit du jugement attaqué est ainsi infondé.</w:t>
      </w:r>
    </w:p>
    <w:p>
      <w:r>
        <w:t>Il s'ensuit que le recours sera rejeté. 3. La recourante, qui succombe, supportera les frais de son recours (art. 106 al. 1 CPC), arrêtés à 1'125 fr. (art. 48, 61 OELP), compensés avec l'avance opérée, acquise à l'Etat de Genève (art. 111 al. 1 CPC).</w:t>
      </w:r>
    </w:p>
    <w:p>
      <w:r>
        <w:t>Elle versera à l'intimé 1'500 fr. à titre de dépens de recours, débours et TVA inclus (art. 85, 89, 90 RTFMC; art. 25 et 26 LaCC). * * * * *</w:t>
      </w:r>
    </w:p>
    <w:p>
      <w:r>
        <w:t>- 6/6 -</w:t>
      </w:r>
    </w:p>
    <w:p>
      <w:r>
        <w:t>C/4033/2019 PAR CES MOTIFS, La Chambre civile : A la forme : Déclare recevable le recours formé le 17 octobre 2019 par A______ SA contre le jugement JTPI/13763/2019 rendu le 30 septembre 2019 par le Tribunal de première instance dans la cause C/4033/2019-15 SML. Au fond : Rejette ce recours. Déboute les parties de toutes autres conclusions. Sur les frais : Arrête les frais judiciaires du recours à 1'125 fr., compensés avec l'avance déjà opérée, acquise à l'Etat de Genève. Les met à la charge de A______ SA. Condamne A______ SA à verser à B______ 1'500 fr. à titre de dépens de recours. Siégeant : Madame Nathalie LANDRY-BARTHE, présidente; Madame Sylvie DROIN et Madame Nathalie RAPP,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