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ACJC/237/2014 vom 24. Februar 2014</w:t>
      </w:r>
    </w:p>
    <w:p>
      <w:r>
        <w:t>GE Cour de justice, 2014-02-24, FR</w:t>
      </w:r>
    </w:p>
    <w:p>
      <w:r>
        <w:rPr>
          <w:b/>
        </w:rPr>
        <w:t xml:space="preserve">Quelle: </w:t>
      </w:r>
      <w:r>
        <w:t>https://mcp.opencaselaw.ch/entscheid/ge_gerichte_ACJC_237_2014</w:t>
      </w:r>
    </w:p>
    <w:p>
      <w:r>
        <w:t>FR: GE_GERICHTE ACJC/237/2014 du 24 février 2014</w:t>
      </w:r>
    </w:p>
    <w:p>
      <w:r>
        <w:t>IT: GE_GERICHTE ACJC/237/2014 del 24 febbraio 2014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 teneur de l'art. 22 al.1 LaCC, il n'est pas prélevé de frais dans les causes soumises à la juridiction des baux et loyers, étant rappelé que l'art. 116 al. 1 CPC autorise les cantons à prévoir des dispenses de frais dans d'autres litiges que ceux visés à l'art. 114 CPC.</w:t>
      </w:r>
    </w:p>
    <w:p>
      <w:r>
        <w:rPr>
          <w:b/>
        </w:rPr>
        <w:t>E. 7</w:t>
      </w:r>
    </w:p>
    <w:p>
      <w:r>
        <w:t>La valeur litigieuse, déterminée au considérant 1.3. ci-dessus, est supérieure à 15'000 fr., de sorte que le recours en matière civile auprès du Tribunal fédéral peut être interjeté contre la présente décision (art. 74 al. 1 let. a LTF). * * * * *</w:t>
      </w:r>
    </w:p>
    <w:p>
      <w:r>
        <w:t>- 20/20 -</w:t>
      </w:r>
    </w:p>
    <w:p>
      <w:r>
        <w:t>C/18584/2011 PAR CES MOTIFS, La Chambre des baux et loyers : A la forme : Déclare recevable l'appel interjeté le 6 juin 2013 par A______ et B______ contre le jugement JTBL/450/2013, rendu le Tribunal des baux et loyers le 3 mai 2013 dans la cause C/18584/2011-5-OSB. Au fond : Confirme ce jugement. Dit que la procédure est gratuite. Déboute les parties de toutes autres conclusions. Siégeant : Madame Sylvie DROIN, présidente; Madame Elena SAMPEDRO et Monsieur Laurent RIEBEN, juges; Madame Laurence CRUCHON, Monsieur Serge PATEK, juges assesseurs; Madame Maïté VALENTE, greffière.</w:t>
      </w:r>
    </w:p>
    <w:p>
      <w:r>
        <w:t>La présidente : Sylvie DROIN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: cf. considérant 7.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