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ACJC/233/2019 vom 22. Januar 2019</w:t>
      </w:r>
    </w:p>
    <w:p>
      <w:r>
        <w:t>GE Cour de justice, 2019-01-22, FR</w:t>
      </w:r>
    </w:p>
    <w:p>
      <w:r>
        <w:rPr>
          <w:b/>
        </w:rPr>
        <w:t xml:space="preserve">Quelle: </w:t>
      </w:r>
      <w:r>
        <w:t>https://mcp.opencaselaw.ch/entscheid/ge_gerichte_ACJC_233_2019</w:t>
      </w:r>
    </w:p>
    <w:p>
      <w:r>
        <w:t>FR: GE_GERICHTE ACJC/233/2019 du 22 janvier 2019</w:t>
      </w:r>
    </w:p>
    <w:p>
      <w:r>
        <w:t>IT: GE_GERICHTE ACJC/233/2019 del 22 gennaio 2019</w:t>
      </w:r>
    </w:p>
    <w:p>
      <w:pPr>
        <w:pStyle w:val="Heading2"/>
      </w:pPr>
      <w:r>
        <w:t>Volltext</w:t>
      </w:r>
    </w:p>
    <w:p>
      <w:r>
        <w:t>Le présent arrêt est communiqué aux parties par plis recommandés du 15.02.2019.</w:t>
      </w:r>
    </w:p>
    <w:p>
      <w:r>
        <w:t>REPUBLIQUE ET</w:t>
      </w:r>
    </w:p>
    <w:p>
      <w:r>
        <w:t>CANTON DE GENEVE POUVOIR JUDICIAIRE C/15925/2018 ACJC/233/2019 ARRÊT DE LA COUR DE JUSTICE Chambre des baux et loyers DU VENDREDI 15 FEVRIER 2019</w:t>
      </w:r>
    </w:p>
    <w:p>
      <w:r>
        <w:t>Entre Monsieur A_______, domicilié rue ______ (GE), recourant contre une ordonnance rendue par le Tribunal des baux et loyers le 22 janvier 2019, représenté par l'ASLOCA, rue du Lac 12, case postale 6150, 1211 Genève 6, en les bureaux de laquelle il fait élection de domicile, et FONDATION B_______, p.a. et représentée par C______, Genève, intimée, en les bureaux de laquelle elle fait élection de domicile.</w:t>
      </w:r>
    </w:p>
    <w:p>
      <w:r>
        <w:t>- 2/4 -</w:t>
      </w:r>
    </w:p>
    <w:p>
      <w:r>
        <w:t>C/15925/2018 Vu, EN FAIT, la procédure C/15925/2018, pendante devant le Tribunal des baux et loyers, en annulation du congé et en prolongation de bail; Vu l'ordonnance du 22 janvier 2019 rendue par le Tribunal des baux et loyers, expédiée pour notification aux parties le même jour, maintenant l'ordonnance rendue le 8 janvier 2019, impartissant un délai à A_______ pour répondre par écrit à la demande reconventionnelle, et refusant la demande faite le 18 janvier par ce dernier de répliquer à la réponse déposée par la bailleresse; Vu le recours formé en temps opportun par le locataire contre cette décision, sollicitant son annulation et le renvoi de la cause en première instance; Vu la requête tendant à la suspension de l'effet exécutoire attaché à l'ordonnance querellée dont le recours est assorti, le locataire faisant en substance valoir subir un préjudice difficilement réparable, fondé sur la violation de son droit d'être entendu, en raison de l'absence de prise de position, tant sur les pièces produites par la bailleresse que sur les allégués formés par elle; Attendu que la bailleresse, par écritures du 11 février 2019, a conclu au rejet de la demande d'effet suspensif; Considérant, EN DROIT,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 1); Que l'instance de recours jouit d'un large pouvoir d'appréciation (JEANDIN, Code de procédure civile commenté, Bâle, 2011, n. 6 ad art. 325 CPC);</w:t>
      </w:r>
    </w:p>
    <w:p>
      <w:r>
        <w:t>- 3/4 -</w:t>
      </w:r>
    </w:p>
    <w:p>
      <w:r>
        <w:t>C/15925/2018 Que selon les principes généraux applicables en matière d'effet suspensif, le juge procèdera à une pesée des intérêts en présence et se demandera en particulier si sa décision est de nature à provoquer une situation irréversible; Qu'elle prendra également en considération les chances de succès du recours (ATF 115 Ib 157 consid. 2; arrêt du Tribunal fédéral 4A_30/2010 du 25 mars 2010 consid. 2.3); Que selon la jurisprudence constante du Tribunal fédéral, à supposer qu'une partie éprouve le besoin de s'exprimer encore après avoir reçu la réponse de sa partie adverse, il lui est possible de le faire en envoyant immédiatement et spontanément ses observations, selon une jurisprudence bien connue (ATF 138 III 252 consid. 2.2; 133 I 98 consid. 2.2; 130 II 42 consid. 3.3.3 et 3.3.4); Considérant qu'en l'espèce, l'existence d'un préjudice difficilement réparable est prima facie douteuse; Qu'en effet, selon la jurisprudence rappelée ci-avant, il appartient à la partie qui entend se déterminer de le faire spontanément; Que les faibles chances de succès du recours justifient dès lors le rejet de la requête de suspension de l'effet exécutoire attaché à la décision attaquée. * * * * *</w:t>
      </w:r>
    </w:p>
    <w:p>
      <w:r>
        <w:t>- 4/4 -</w:t>
      </w:r>
    </w:p>
    <w:p>
      <w:r>
        <w:t>C/15925/2018 PAR CES MOTIFS, La Présidente de la Chambre des baux et loyers : Statuant sur la suspension de l'effet exécutoire : Rejette la requête tendant à la suspension de l'effet exécutoire attaché à l'ordonnance rendue le 22 janvier 2019 par le Tribunal des baux et loyers dans la cause C/15925/2018-4.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