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ACJC/232/2022 vom 3. August 2021</w:t>
      </w:r>
    </w:p>
    <w:p>
      <w:r>
        <w:t>GE Cour de justice, 2021-08-03, FR</w:t>
      </w:r>
    </w:p>
    <w:p>
      <w:r>
        <w:rPr>
          <w:b/>
        </w:rPr>
        <w:t xml:space="preserve">Quelle: </w:t>
      </w:r>
      <w:r>
        <w:t>https://mcp.opencaselaw.ch/entscheid/ge_gerichte_ACJC_232_2022</w:t>
      </w:r>
    </w:p>
    <w:p>
      <w:r>
        <w:t>FR: GE_GERICHTE ACJC/232/2022 du 3 août 2021</w:t>
      </w:r>
    </w:p>
    <w:p>
      <w:r>
        <w:t>IT: GE_GERICHTE ACJC/232/2022 del 3 agosto 2021</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doit être attaquée dans un délai de dix jours dès sa notification (art. 321 al. 2 CPC), par un recours écrit et motivé, conforme aux art. 130 et 131 CPC, adressé à la Cour de justice (art. 120 al. 1 let. a LOJ). Interjeté dans le délai et les formes prévus par la loi, le recours est en l'espèce recevable.</w:t>
      </w:r>
    </w:p>
    <w:p>
      <w:r>
        <w:rPr>
          <w:b/>
        </w:rPr>
        <w:t>E. 1.2</w:t>
      </w:r>
    </w:p>
    <w:p>
      <w:r>
        <w:t>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maximes des débats et de disposition s'appliquent (art. 55 al. 1, 255 lit. a a contrario et 58 al. 1 CPC).</w:t>
      </w:r>
    </w:p>
    <w:p>
      <w:r>
        <w:rPr>
          <w:b/>
        </w:rPr>
        <w:t>E. 2</w:t>
      </w:r>
    </w:p>
    <w:p>
      <w:r>
        <w:t>En vertu de l'art. 326 al. 1 CPC, les conclusions, allégations de fait et preuves nouvelles sont irrecevables dans le cadre d'un recours. Les faits nouveaux allégués par l'intimée et les pièces nouvelles qu'elle produit sont par conséquent irrecevables.</w:t>
      </w:r>
    </w:p>
    <w:p>
      <w:r>
        <w:rPr>
          <w:b/>
        </w:rPr>
        <w:t>E. 3</w:t>
      </w:r>
    </w:p>
    <w:p>
      <w:r>
        <w:t>La recourante reproche au Tribunal d'avoir prononcé la mainlevée provisoire d'opposition requise alors que la mise à disposition du montant prêté n'avait pas été démontrée, que l'acte constitutif de la cédule hypothécaire n'avait pas été produit en copie légalisée et qu'une convention de sûretés en lien avec les cédules hypothécaires n'avait pas été produite.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w:t>
      </w:r>
    </w:p>
    <w:p>
      <w:r>
        <w:t>- 5/8 -</w:t>
      </w:r>
    </w:p>
    <w:p>
      <w:r>
        <w:t>C/764/2021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arrêts du Tribunal fédéral 5A_465/2014 du 20 août 2014 consid. 7.2.1.2; 5A_326/2011 du 6 septembre 2011 consid. 3.2; cf. aussi arrêt du Tribunal fédéral 5A_1017/2017 du 12 septembre 2017 consid. 4.3.1). Lorsque le débiteur poursuivi se prévaut du fait que le créancier poursuivant n'a pas exécuté sa prestation, il conteste que le contrat synallagmatique produit revête la qualité de reconnaissance de dette au sens de l'art. 82 al. 1 LP. Un tel titre ne constitue en effet pas en soi une reconnaissance de dette pure et simple, mais suppose que le poursuivant ait fourni sa prestation.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Or, il incombe au créancier poursuivant de justifier qu'il dispose d'un tel titre (ATF 145 III 20 consid. 4.3.2).</w:t>
      </w:r>
    </w:p>
    <w:p>
      <w:r>
        <w:rPr>
          <w:b/>
        </w:rPr>
        <w:t>E. 3.2</w:t>
      </w:r>
    </w:p>
    <w:p>
      <w:r>
        <w:t>La cédule hypothécaire est une créance personnelle garantie par un gage immobilier (art. 842 al. 1 CC).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(ATF 140 III 36 consid. 4; 134 III 71 consid. 3). La créance abstraite incorporée dans la cédule hypothécaire, et seule garantie par le gage immobilier, doit faire l'objet d'une poursuite en réalisation de gage immobilier (art. 151 ss LP en relation avec les art. 133 à 143b LP, complétés par l'ORFI; ATF 140 III 180 consid. 5.1.1). Selon l'art. 85 ORFI, sauf mention contraire, l'opposition, dans la poursuite en réalisation de gage, est censée se rapporter tant à la créance qu'au droit de gage.</w:t>
      </w:r>
    </w:p>
    <w:p>
      <w:r>
        <w:rPr>
          <w:b/>
        </w:rPr>
        <w:t>E. 3.3</w:t>
      </w:r>
    </w:p>
    <w:p>
      <w:r>
        <w:t>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w:t>
      </w:r>
    </w:p>
    <w:p>
      <w:r>
        <w:t>- 6/8 -</w:t>
      </w:r>
    </w:p>
    <w:p>
      <w:r>
        <w:t>C/764/2021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147 III 176 consid. 4; 140 III 36 consid. 4; 134 III 71 consid. 3; 129 III 12 consid. 2.5).</w:t>
      </w:r>
    </w:p>
    <w:p>
      <w:r>
        <w:rPr>
          <w:b/>
        </w:rPr>
        <w:t>E. 3.4</w:t>
      </w:r>
    </w:p>
    <w:p>
      <w:r>
        <w:t>En l'occurrence, la recourante a relevé à l'audience du Tribunal, que la preuve du transfert du montant du prêt n'avait pas été apportée par l'intimée. Il apparaît que l'intimée n'a pas formé d'allégué relatif à l'exécution de son obligation découlant du contrat de prêt de 2016, à savoir la preuve du virement à la recourante du montant de 3'000'000 fr., objet dudit prêt, pas plus qu'elle n'a produit, au Tribunal, de pièce propre à démontrer directement cette exécution, telle un avis de virement. Cela étant, elle a déposé, avec sa requête, son courrier circonstancié du 22 janvier 2020, ainsi que la réponse de la recourante du 31 mars 2020. Le premier visait explicitement le prêt consenti qui serait dénoncé au remboursement faute d'exécution d'obligations dans un délai de soixante jours, tandis que le second énonçait, avec référence expresse à la lettre du 22 janvier 2020 précitée, une impossibilité de proposer "en l'état" de solution ou de verser des intérêts, pour des raisons de situation économique, et requérait un délai pour "débloquer la situation". De cet échange de correspondances résulte l'existence d'un prêt consenti par l'intimée à la recourante, laquelle n'a dans son courrier du 31 mars 2020 fait aucune mention d'une quelconque objection sur ce point, se limitant à se référer à sa situation financière qui l'empêchait en l'état de faire face à ses engagements. Le fait (exécution de l'obligation du prêteur) est ainsi établi, partant admis par la recourante à l'audience du Tribunal.</w:t>
      </w:r>
    </w:p>
    <w:p>
      <w:r>
        <w:t>Il est pour le surplus constant que l'intimée n'a produit qu'un tirage non légalisé de l'acte constitutif d'une cédule hypothécaire au porteur de 3'000'000 fr. (comprenant la reconnaissance de dette de la recourante). Il y a été ajouté la réquisition d'inscription au Registre foncier portant le numéro 5______ attribué par la timbreuse de ce service au jour du dépôt le ______ 2016, lequel correspond à la référence portée sur la cédule et sur le feuillet du Registre foncier ("n° 2016- 5______") en regard de l'identité du porteur, soit l'intimée. Ces éléments, non remis en cause par la recourante, sont suffisants pour retenir l'identité des créancier et débiteur de la dette incorporée dans la cédule.</w:t>
      </w:r>
    </w:p>
    <w:p>
      <w:r>
        <w:t>Les griefs de la recourante sont ainsi infondés. Le recours sera dès lors rejeté.</w:t>
      </w:r>
    </w:p>
    <w:p>
      <w:r>
        <w:t>- 7/8 -</w:t>
      </w:r>
    </w:p>
    <w:p>
      <w:r>
        <w:t>C/764/2021</w:t>
      </w:r>
    </w:p>
    <w:p>
      <w:r>
        <w:rPr>
          <w:b/>
        </w:rPr>
        <w:t>E. 4</w:t>
      </w:r>
    </w:p>
    <w:p>
      <w:r>
        <w:t>L'intimée, qui succombe, supportera les frais du recours (art. 106 al. 1 CPC), arrêtés à 2'250 fr. (art. 48 et 61 OELP), compensés avec l'avance opérée, acquise à l'Etat de Genève (art. 111 al. 1 CPC). Elle versera en outre à la recourante 2'000 fr. à titre de dépens de recours, débours et TVA inclus (art. 84, 85, 89, 90 RTFMC; art. 25 et 26 LaCC).</w:t>
      </w:r>
    </w:p>
    <w:p>
      <w:r>
        <w:t>* * * * *</w:t>
      </w:r>
    </w:p>
    <w:p>
      <w:r>
        <w:t>- 8/8 -</w:t>
      </w:r>
    </w:p>
    <w:p>
      <w:r>
        <w:t>C/764/2021 PAR CES MOTIFS, La Chambre civile : A la forme : Déclare recevable le recours formé par A______ SA contre le jugement JTPI/9748/2021 rendu le 3 août 2021 par le Tribunal de première instance dans la cause C/764/2021–16 SML. Au fond : Rejette ce recours. Déboute les parties de toute autre conclusion. Sur les frais : Arrête les frais judiciaires du recours à 2'250 fr., compensés avec l'avance effectuée, acquise à l'Etat de Genève. Les met à la charge de A______ SA. Condamne A______ SA à verser à D______ SA 2'000 fr. à titre de dépens de recours. Siégeant : Monsieur Laurent RIEBEN, président; Madame Sylvie DROIN, Madame Nathalie LANDRY-BARTHE,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