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ACJC/231/2024 vom 26. Februar 2024</w:t>
      </w:r>
    </w:p>
    <w:p>
      <w:r>
        <w:t>GE Cour de justice, 2024-02-26, FR</w:t>
      </w:r>
    </w:p>
    <w:p>
      <w:r>
        <w:rPr>
          <w:b/>
        </w:rPr>
        <w:t xml:space="preserve">Quelle: </w:t>
      </w:r>
      <w:r>
        <w:t>https://mcp.opencaselaw.ch/entscheid/ge_gerichte_ACJC_231_2024</w:t>
      </w:r>
    </w:p>
    <w:p>
      <w:r>
        <w:t>FR: GE_GERICHTE ACJC/231/2024 du 26 février 2024</w:t>
      </w:r>
    </w:p>
    <w:p>
      <w:r>
        <w:t>IT: GE_GERICHTE ACJC/231/2024 del 26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minimale étant largement atteinte, la voie de l'appel est ouverte.</w:t>
      </w:r>
    </w:p>
    <w:p>
      <w:r>
        <w:rPr>
          <w:b/>
        </w:rPr>
        <w:t>E. 1.2</w:t>
      </w:r>
    </w:p>
    <w:p>
      <w:r>
        <w:t>L'appel, écrit et motivé, est introduit auprès de l'instance d'appel dans les 30 jours à compter de la notification de la décision motivée ou de la notification postérieure de la motivation (art. 311 al. 1 CPC).</w:t>
      </w:r>
    </w:p>
    <w:p>
      <w:r>
        <w:rPr>
          <w:b/>
        </w:rPr>
        <w:t>E. 1.2.1</w:t>
      </w:r>
    </w:p>
    <w:p>
      <w:r>
        <w:t>Si une décision comporte une double motivation (i.e. deux motivations indépendantes, alternatives ou subsidiaires, suffisant chacune à sceller le sort de la cause), il incombe au recourant, sous peine d'irrecevabilité, de démontrer que chacune d'elles est contraire au droit (art. 42 LTF, cf. ATF 138 III 728 consid. 3.4;</w:t>
      </w:r>
    </w:p>
    <w:p>
      <w:r>
        <w:t>- 23/42 -</w:t>
      </w:r>
    </w:p>
    <w:p>
      <w:r>
        <w:t>C/20201/2016 136 III 534 consid. 2; art. 311 CPC, cf. arrêt du Tribunal fédéral 4A_614/2018 du 8 octobre 2019 consid. 3.2).</w:t>
      </w:r>
    </w:p>
    <w:p>
      <w:r>
        <w:rPr>
          <w:b/>
        </w:rPr>
        <w:t>E. 1.2.2</w:t>
      </w:r>
    </w:p>
    <w:p>
      <w:r>
        <w:t>En l'espèce, l'intimée soutient que l'appel serait irrecevable pour défaut de motivation, l'appelante n'ayant pas contesté la seconde partie du raisonnement du Tribunal relative à l'hypothèse de la conclusion d'un contrat "execution only" et d'une ratification par l'appelante de l'investissement litigieux. S'il est vrai qu'aucun chapitre de l'appel n'est consacré à la ratification de l'opération litigieuse, l'on peut déduire de la motivation générale de l'appel les arguments que l'appelante fait valoir pour critiquer cette partie du raisonnement du Tribunal, à savoir le fait que le manque d'information sur les opérations spéculatives et ses lacunes en matière financière s'opposeraient à ce que les clauses de "banque restante" et de réclamation lui soient opposables. Interjeté dans le délai utile de trente jours (art. 142 al. 1, 143 al. 1, 145 al. 1 let. a et 311 al. 1 CPC), selon la forme prescrite par la loi (art. 130, 131 et 311 CPC) et auprès de l'autorité compétente (art. 120 al. 1 let. a LOJ), l'appel est donc recevable. Le mémoire de réponse est également recevable pour avoir été déposé dans le délai et la forme prescrits par la loi (art. 312 CPC). Il en va de même des écritures subséquentes des parties (art. 316 al. 2 CPC; sur le droit à la réplique spontanée : cf. ATF 146 III 97 consid. 3.4.1).</w:t>
      </w:r>
    </w:p>
    <w:p>
      <w:r>
        <w:rPr>
          <w:b/>
        </w:rPr>
        <w:t>E. 1.3</w:t>
      </w:r>
    </w:p>
    <w:p>
      <w:r>
        <w:t>L'appel peut être formé pour violation du droit (art. 310 let. a CPC) et constatation inexacte des faits (art. 310 let. b CPC). La Cour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2</w:t>
      </w:r>
    </w:p>
    <w:p>
      <w:r>
        <w:t>Compte tenu de l'élection de for et de droit prévue par les parties, il n'est à juste titre pas contesté que les juridictions genevoises sont compétentes pour connaître du litige et que le droit suisse est applicable (art. 5 al. 1 et 116 al. 1 et 2 LDIP).</w:t>
      </w:r>
    </w:p>
    <w:p>
      <w:r>
        <w:rPr>
          <w:b/>
        </w:rPr>
        <w:t>E. 3</w:t>
      </w:r>
    </w:p>
    <w:p>
      <w:r>
        <w:t>L'appelante se plaint d'une constatation inexacte des faits au motif que le premier juge aurait omis certains éléments essentiels. L'état de fait ci-dessus a été complété dans la mesure utile, de sorte qu'il n'y a pas lieu de s'attarder sur ce grief. L'appréciation des preuves effectuée par le Tribunal sera examinée dans les considérants qui suivent en tant que de besoin.</w:t>
      </w:r>
    </w:p>
    <w:p>
      <w:r>
        <w:t>- 24/42 -</w:t>
      </w:r>
    </w:p>
    <w:p>
      <w:r>
        <w:t>C/20201/2016</w:t>
      </w:r>
    </w:p>
    <w:p>
      <w:r>
        <w:rPr>
          <w:b/>
        </w:rPr>
        <w:t>E. 4</w:t>
      </w:r>
    </w:p>
    <w:p>
      <w:r>
        <w:t>L'appelante reproche au Tribunal d'avoir violé son droit à la preuve en écartant de la procédure la première partie de l'expertise ainsi que ses allégués complémentaires déposés le 24 avril 2020.</w:t>
      </w:r>
    </w:p>
    <w:p>
      <w:r>
        <w:rPr>
          <w:b/>
        </w:rPr>
        <w:t>E. 4.1</w:t>
      </w:r>
    </w:p>
    <w:p>
      <w:r>
        <w:t>Aux termes de l'art. 8 CC, chaque partie doit prouver les faits qu'elle allègue pour en déduire son droit. Toute partie a droit à ce que le tribunal administre les moyens de preuve adéquats proposés régulièrement et en temps utile (art. 152 al. 1 CPC). Les parties allèguent les faits sur lesquels elles fondent leurs prétentions et produisent les preuves qui s'y rapportent (art. 55 al. 1 CPC). Conformément à la maxime des débats, il incombe aux parties, et non au juge, de rassembler les faits du procès, c'est-à-dire d'alléguer les faits pertinents (fardeau de l'allégation subjectif) et d'offrir les moyens de preuve propres à établir ceux-ci (fardeau de l'administration de la preuve) (ATF 144 III 519 consid. 5.1).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144 III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144 III 519 consid. 5.2.1.1). Le Tribunal fédéral n'a pas tranché la question de la prise en considération des faits dits exorbitants, c'est-à-dire des faits qui n'ont pas été allégués par les parties, mais qui ressortent de l'administration des preuves. Il est néanmoins admis que des faits ressortant de l'administration des preuves peuvent être pris en considération s'ils ne font que concrétiser des faits déjà suffisamment allégués, de sorte qu'ils sont "couverts" par celle-ci. Leur prise en considération s'inscrit dans le cadre de la libre appréciation de la force probante du moyen de preuve administré (cf. arrêt du Tribunal fédéral 4A_195/2014 et 4A_197/2014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(BASTONS BULLETTI, in CPC Online, newsletter du 14 juillet 2016 relative à l'ATF 142 III 462 consid. 4.3-4.4).</w:t>
      </w:r>
    </w:p>
    <w:p>
      <w:r>
        <w:t>- 25/42 -</w:t>
      </w:r>
    </w:p>
    <w:p>
      <w:r>
        <w:t>C/20201/2016 Il convient de se montrer souple et d'admettre la prise en considération des faits exorbitants, lorsqu'ils se situent encore dans le cadre de ce qui a été allégué, c'est- à-dire lorsqu'ils se rattachent aux faits allégués par l'une ou l'autre des parties (BASTONS BULLETTI, op. cit.).</w:t>
      </w:r>
    </w:p>
    <w:p>
      <w:r>
        <w:rPr>
          <w:b/>
        </w:rPr>
        <w:t>E. 4.1.1</w:t>
      </w:r>
    </w:p>
    <w:p>
      <w:r>
        <w:t>Selon l'art. 229 al. 1 CPC, les faits et moyens de preuve nouveaux ne sont admis aux débats principaux que s'ils sont invoqués sans retard et qu'ils sont postérieurs à l'échange d'écritures ou à la dernière audience d'instruction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let. b).</w:t>
      </w:r>
    </w:p>
    <w:p>
      <w:r>
        <w:rPr>
          <w:b/>
        </w:rPr>
        <w:t>E. 4.1.2</w:t>
      </w:r>
    </w:p>
    <w:p>
      <w:r>
        <w:t>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 ;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ni n'exclut l'appréciation anticipée des preuves (ATF 138 III 374 consid. 4.3.1; arrêt du Tribunal fédéral 4D_3/2020 du 28 août 2020 consid. 4.1). Le droit à la preuve n'existe que s'il s'agit d'établir un fait pertinent, qui n'est pas déjà prouvé, par une mesure probatoire adéquate (ATF 135 I 187 consid. 2.2; 133 III 295 consid. 7.1 in SJ 2007 I 513; arrêts du Tribunal fédéral 5A_763/2018 du 1er juillet 2019 consid. 2.1.1.1 et 2C_545/2014 du 9 janvier 2015 consid. 3.1). En cas d'appréciation anticipée des preuves, il doit au moins implicitement en ressortir les raisons pour lesquelles le tribunal dénie toute importance ou pertinence aux moyens de preuve qu'il n'administre pas (art. 29 al. 2 Cst.; ATF 114 II 289 consid. 2b, JdT 1989 I 84; arrêt du Tribunal fédéral 5A_304/2014 du 13 octobre 2014 consid. 3.3 ss).</w:t>
      </w:r>
    </w:p>
    <w:p>
      <w:r>
        <w:t>- 26/42 -</w:t>
      </w:r>
    </w:p>
    <w:p>
      <w:r>
        <w:t>C/20201/2016</w:t>
      </w:r>
    </w:p>
    <w:p>
      <w:r>
        <w:rPr>
          <w:b/>
        </w:rPr>
        <w:t>E. 4.1.3</w:t>
      </w:r>
    </w:p>
    <w:p>
      <w:r>
        <w:t>Parmi les moyens de preuve se trouve l'expertise (art. 168 al. 1 let. d CPC). Le tribunal peut, à la demande d'une partie ou d'office, demander une expertise à un ou plusieurs experts (art. 183 al. 1 CPC). L'expert est exhorté à répondre conformément à la vérité; il doit déposer son rapport dans le délai prescrit (art. 184 al. 1 CPC). Le tribunal instruit l'expert et lui soumet, par écrit ou de vive voix à l'audience, les questions soumises à expertise (art. 185 al. 1 CPC). Le tribunal tient à la disposition de l'expert les actes dont celui-ci a besoin et lui fixe un délai pour déposer son rapport (art. 185 al. 3 CPC). L'expert peut, avec l'autorisation du tribunal, procéder personnellement à des investigations. Il en expose les résultats dans son rapport (art. 186 al. 1 CPC). Le tribunal peut ordonner que le rapport de l'expert soit déposé par écrit ou présenté oralement. L'expert peut en outre être cité à l'audience pour commenter son rapport écrit (art. 187 al. 1 CPC). Le tribunal peut, à la demande d'une partie ou d'office, faire compléter ou expliquer un rapport lacunaire, peu clair ou insuffisamment motivé, ou faire appel à un autre expert (art. 188 al. 2 CPC).</w:t>
      </w:r>
    </w:p>
    <w:p>
      <w:r>
        <w:rPr>
          <w:b/>
        </w:rPr>
        <w:t>E. 4.1.3.1</w:t>
      </w:r>
    </w:p>
    <w:p>
      <w:r>
        <w:t>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132 II 257 consid. 4.4.1; 130 I 337 consid. 5.4.1 in JdT 2005 I 95; arrêts du Tribunal fédéral 5A_795/2013 du 27 février 2014 consid. 5.1.2; 5A_911/2012 du 14 février 2013 consid. 6.4.2). L'expertise forme un tout; les réponses au questionnaire précis doivent être interprétées à la lumière des explications circonstanciées précédant cette rubrique, et des précisions apportées dans un éventuel rapport complémentaire (arrêt du Tribunal fédéral 4A_276/2014, 4A_282/2014 du 25 février 2015 consid. 2.5). Pour qu'il y ait matière à expertise, il faut que le tribunal s'estime insuffisamment outillé intellectuellement pour élucider seul un point de fait pertinent, et que des personnes tierces disposent de connaissances leur permettant d'émettre un avis plus fiable sur la question (SCHWEIZER, Commentaire romand, Code de procédure civile, 2ème éd. 2019, n. 3 ad art. 183 CPC). Le rapport d'expertise doit être complet et répondre à toutes les questions, si possible dans sa première et unique version. L'expert explicite les faits allégués découlant de l'instruction, ainsi que les faits qu'il a découverts, et donne sa conclusion factuelle. L'expert discute les faits pertinents sous l'angle de ses connaissances de spécialiste. S'il y a lieu, l'expert émet des hypothèses et des variantes. Les explications de l'expert doivent être compréhensibles tant par des spécialistes, que par des non-spécialistes, que par le tribunal. L'expert suit les standards scientifiques de sa spécialité. L'expertise doit être concluante et en</w:t>
      </w:r>
    </w:p>
    <w:p>
      <w:r>
        <w:t>- 27/42 -</w:t>
      </w:r>
    </w:p>
    <w:p>
      <w:r>
        <w:t>C/20201/2016 mesure de convaincre, conformément aux doctrines techniques ou scientifiques (VOUILLOZ, Petit Commentaire, CPC, 2020, n. 4 ad art. 187 CPC).</w:t>
      </w:r>
    </w:p>
    <w:p>
      <w:r>
        <w:rPr>
          <w:b/>
        </w:rPr>
        <w:t>E. 4.1.3.2</w:t>
      </w:r>
    </w:p>
    <w:p>
      <w:r>
        <w:t>Sur les questions techniques, le juge ne peut s'écarter d'une expertise judiciaire que pour des motifs pertinents. En l'absence de tels motifs, il ne doit pas substituer son propre avis à celui de l'expert (ATF 101 IV 129 consid. 3a).</w:t>
      </w:r>
    </w:p>
    <w:p>
      <w:r>
        <w:rPr>
          <w:b/>
        </w:rPr>
        <w:t>E. 4.2</w:t>
      </w:r>
    </w:p>
    <w:p>
      <w:r>
        <w:t>En l'espèce, le Tribunal a retenu que l'expert était sorti de sa mission d'expertise puisque la mention dans l'ordonnance du 29 novembre 2019 l'autorisant à "faire toutes autres observations ou conclusions qu'il estimera[it] utile" ne se référait qu'aux questions posées et ne lui permettait pas d'élargir de sa propre initiative la mission qui lui était confiée à toute considération qu'il jugeait utile à la résolution du litige. Bien qu'il ne soit pas strictement cantonné à répondre aux questions posées, l'expert doit toutefois rester dans les thématiques qui lui sont soumises pour aider le juge à établir des faits techniques/scientifiques qui ont été allégués en procédure par les parties et pour lesquels le juge ne dispose pas de connaissances suffisantes. En l'espèce, d'une part, l'expert a donné son opinion sur des questions juridiques dans les sous-chapitres 2.1 et 2.2, de sorte que le Tribunal ne pouvait en tout état pas en tenir compte dans son raisonnement. D'autre part, l'expert s'est prononcé sur des questions qui ne lui avaient pas été posées puisque ne nécessitant pas de connaissances particulières dont le Tribunal ne disposait pas, notamment sur le rôle de la conseillère (sous-chapitre 2.3), les connaissances financières des ayants droit économiques de l'appelante (sous-chapitre 2.6) ou encore la contestation de l'achat des obligations litigieuses (sous-chapitre 2.7). L'expert s'est également prononcé sur des faits qui n'étaient pas pertinents pour l'issue du litige (sous- chapitres 2.4 et 2.5). Partant, c'est à juste titre que le Tribunal a écarté de la procédure cette partie de l'expertise. La question de savoir si le Tribunal pouvait formellement déclarer irrecevable la première partie de l'expertise ou aurait dû simplement ne pas en tenir compte dans l'appréciation de l'expertise peut souffrir de demeurer indécise. En effet, ladite première partie n'est en tout état pas déterminante pour la solution du litige, le Tribunal disposant d'éléments suffisants sur la base du dossier pour établir sa conviction. S'agissant de la requête en introduction de nova du 24 avril 2020 de l'appelante, dans la mesure où lesdits novas reposent uniquement sur la partie écartée de l'expertise, c'est à juste titre que le Tribunal les a également écartés. Par ailleurs, les faits nouveaux dont se prévaut l'appelante auraient tous pu être allégués dans le cadre de la demande ou de la réplique, puisqu'ils se rapportent à une analyse des relevés de fortune que l'appelante a elle-même versés au dossier. Son manque d'expérience en matière financière ne saurait être invoqué pour pallier son manque</w:t>
      </w:r>
    </w:p>
    <w:p>
      <w:r>
        <w:t>- 28/42 -</w:t>
      </w:r>
    </w:p>
    <w:p>
      <w:r>
        <w:t>C/20201/2016 de diligence, étant encore souligné que son manque de connaissances dans le domaine financier n'est pas établi, comme il sera retenu plus bas (cf. consid. 5.2.1 infra). En outre, les allégués n° 160, 163, 167, 177, 178 et 179 ne sauraient être considérés comme des faits exorbitants puisqu'ils ont trait à des faits qui sortent du cadre litigieux allégué en procédure. Compte tenu de ce qui précède, le grief de l'appelante visant l'ordonnance du Tribunal du 17 novembre 2020 est infondé.</w:t>
      </w:r>
    </w:p>
    <w:p>
      <w:r>
        <w:rPr>
          <w:b/>
        </w:rPr>
        <w:t>E. 5</w:t>
      </w:r>
    </w:p>
    <w:p>
      <w:r>
        <w:t>février 2009. Il ressort en outre des deux dernières inscriptions (i.e. celles des 19 janvier et 29 mars 2011) que l'intimée a attiré l'attention de l'appelante sur les risques découlant de l'investissement sollicité et sur une position à découvert. L'appelante a immédiatement réagi à ces remarques en confirmant être consciente des risques encourus pour la première et en donnant des instructions précises pour réduire le montant "en call" pour la seconde. Ces éléments permettent de retenir que l'appelante disposait des connaissances financières nécessaires pour donner des instructions à l'intimée, ainsi que pour examiner les investissements effectués sur son compte. Ceci est corroboré par le fait qu'il ressort de l'inscription du 8 février 2004 que l'appelante prenait parfois quelques jours pour examiner les relevés de fortune avant de les rendre à l'intimée. Elle pouvait ainsi se renseigner ailleurs ou encore demander des explications complémentaires à l'intimée par rapport aux opérations effectuées sur son compte, à l'instar de ce qu'elle a fait les 27 et 28 janvier 2010. A cela s'ajoute que les ayants droit économiques de l'appelante bénéficiaient d'une formation universitaire dans le domaine du pétrole et du gaz pour l'un (le fils) et dans le domaine de l'économie pour l'autre (la mère). Le fait que ces formations aient été dispensées dans l'ex-URSS n'est pas pertinent puisque, même à supposer que les ayants droit économiques n'aient pas acquis les connaissances financières nécessaires durant leurs formations universitaires en raison du régime soviétique – ce qui n'est pas démontré –, l'expérience qu'ils ont acquise dans le cadre de leurs activités professionnelles respectives est postérieure à la chute dudit régime. En effet, le fils était à la tête de plusieurs sociétés actives dans divers domaines et était copropriétaire d'une société active dans le domaine du pétrole depuis 1997 et la mère était vice-présidente du département commercial d'une société active dans l'extraction de pétrole depuis 1995 et travaillait auparavant en qualité d'économiste pour cette même société. Enfin, le fait que les ayants droit économiques ne parlaient pas très bien l'anglais ou le français importe peu. En effet, il est établi que leur conseillère au sein de l'intimée parlait le russe avec eux et qu'elle leur expliquait la teneur des documents qu'ils signaient, y compris ceux signés lors de l'ouverture de la relation bancaire. Il n'y avait ainsi pas de problème de communication entre les parties.</w:t>
      </w:r>
    </w:p>
    <w:p>
      <w:r>
        <w:t>- 33/42 -</w:t>
      </w:r>
    </w:p>
    <w:p>
      <w:r>
        <w:t>C/20201/2016 Par conséquent, c'est à juste titre que le Tribunal a retenu que l'appelante avait un profil sophistiqué. C'est également à juste titre que le premier juge a considéré qu'une relation de confiance privilégiée ne s'était pas créée entre les parties. Bien qu'il soit établi que la conseillère au sein de l'intimée en charge de la relation avec l'appelante construisait avec de nombreux clients une telle relation, il n'est pas démontré que tel ait été le cas avec l'appelante. Certes, ladite conseillère s'occupait des comptes bancaires personnels des ayants droit économiques de l'appelante avant de s'occuper du compte bancaire de celle-ci, soit depuis la fin des années 90. Cela ne démontre toutefois pas qu'un lien privilégié, particulièrement étroit, se soit instauré entre les parties. En outre, le document "Vue d'ensemble des contacts" n'indique pas des contacts fréquents et réguliers, même en faisant abstraction de l'interruption entre 2004 et 2008. Aucun autre élément au dossier ne permet ni de constater une fréquence élevée de contacts ni des services particuliers rendus par la conseillère à l'appelante, à l'instar de ce que celle-ci faisait pour ses autres clients selon le témoin L______. Le fait que l'intimée soit intervenue à deux reprises, l'une pour attirer l'attention de l'appelante sur les risques d'un investissement (cf. inscription du 19 janvier 2011) et l'autre pour lui demander de réduire son découvert (cf. inscription du 29 mars 2011) n'est pas suffisant pour établir un lien particulièrement étroit entre les parties. Il en va de même du fait que la conseillère soit parvenue à détourner progressivement, en l'espace de cinq ans, environ 10% des fonds de l'appelante déposés auprès de l'intimée. En effet, un tel détournement ne démontre pas une proximité particulière entre les parties. A la lumière de ce qui précède, l'intention de l'appelante était de confier à l'intimée une partie de ses avoirs en dépôt ainsi que de décider des investissements opérés sur son compte bancaire tout en bénéficiant, à quelques reprises, des conseils donnés par sa conseillère au sein de l'intimée, l'appelante gardant toutefois le dernier mot pour toute décision d'investissement. Une telle volonté correspond à la conclusion d'un contrat de dépôt accompagné, ponctuellement, de contrats de conseil en placement. Selon le représentant de l'intimée, dans le cadre d'un contrat "execution only", le client pouvait demander des conseils plus ou moins avancés sur un produit financier à son conseiller bancaire. Ainsi, le fait que les contrats de conseil en placement écrits n'existaient pas au sein de l'intimée avant 2011-2012 n'est pas déterminant, puisque dans la pratique, des conseils en placement ponctuels pouvaient être fournis aux clients et ce, même si l'intimée ne percevait pas de rémunération spéciale, mais seulement des commissions sur les ordres passés. Par conséquent, du point de vue de l'intimée également, les parties étaient liées par un contrat de dépôt et, à quelques reprises, par des contrats de conseil en placement.</w:t>
      </w:r>
    </w:p>
    <w:p>
      <w:r>
        <w:t>- 34/42 -</w:t>
      </w:r>
    </w:p>
    <w:p>
      <w:r>
        <w:t>C/20201/2016 Force est ainsi de constater que les parties se sont entendues et comprises sur les services fournis par l'intimée. La volonté réelle et commune des parties ayant pu être établie, il n'y a pas lieu de procéder à une interprétation selon le principe de la confiance.</w:t>
      </w:r>
    </w:p>
    <w:p>
      <w:r>
        <w:rPr>
          <w:b/>
        </w:rPr>
        <w:t>E. 5.1</w:t>
      </w:r>
    </w:p>
    <w:p>
      <w:r>
        <w:t>En matière d'opérations boursières, s'agissant des devoirs contractuels de diligence et de fidélité de la banque envers son client, la jurisprudence distingue trois types de relations contractuelles: (1) le contrat de gestion de fortune, (2) le contrat de conseil en placement et (3) la relation de simple compte/dépôt bancaire ("execution only") (ATF 133 III 97 consid. 7.1; arrêt du Tribunal fédéral 4A_54/2017 du 29 janvier 2018 consid. 5.1.1). De la qualification du contrat passé entre la banque et le client dépendent l'objet exact et l'étendue des devoirs contractuels d'information, de conseil et d'avertissement de la banque (arrêts du Tribunal fédéral 4A_593/2015 du 13 décembre 2016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à l'art. 11 LBVM, lequel, bien qu'aujourd'hui abrogé (RO 2018 5270) était applicable au moment des faits litigieux (arrêts du Tribunal fédéral 4A_412/2021 du 21 avril 2022 consid. 9.2; 4A_54/2017 du 29 janvier 2018 consid. 5.1.1).</w:t>
      </w:r>
    </w:p>
    <w:p>
      <w:r>
        <w:rPr>
          <w:b/>
        </w:rPr>
        <w:t>E. 5.1.1</w:t>
      </w:r>
    </w:p>
    <w:p>
      <w:r>
        <w:t>Dans le contrat de gestion de fortune, le client charge le gérant de gérer tout ou partie de sa fortune en déterminant lui-même les opérations boursières à effectuer, dans les limites fixées par le contrat (ATF 144 III 155 consid. 2.1.1; arrêts du Tribunal fédéral 4A_72/2020 du 23 octobre 2020 consid. 5; 4A_54/2017 du 29 janvier 2018 consid. 5.1.2; 4A_41/2016 du 20 juin 2016 consid. 3.1). L'existence d'un tel contrat n'exclut nullement que le client puisse occasionnellement donner des ordres d'achat ou de vente au gérant (arrêts du Tribunal fédéral 4A_72/2020 du 23 octobre 2020 consid. 5; 4A_54/2017 du 29 janvier 2018 consid. 5.1.2). Selon la jurisprudence, dans le contrat de gestion de fortune, les devoirs d'information, de conseil et d'avertissement du gérant sont plus étendus que dans le contrat de conseil en placements ou dans la relation de simple compte/dépôt</w:t>
      </w:r>
    </w:p>
    <w:p>
      <w:r>
        <w:t>- 29/42 -</w:t>
      </w:r>
    </w:p>
    <w:p>
      <w:r>
        <w:t>C/20201/2016 bancaire ("execution only"). Le gérant a un devoir d'information général quant aux risques que présente un certain genre d'opérations (ATF 133 III 221 consid. 5.3, rendu sous l'empire de l'ancien art. 11 LBVM, dont les principes demeurent valables en droit privé). Ces devoirs du gérant dépendent des connaissances du client et du genre de placement envisagé (ATF 124 III 155 consid. 3a.; arrêt du Tribunal fédéral 4A_72/2020 du 23 octobre 2020 consid. 5.1.3). Dans le contrat de conseil en placements, le client sollicite des informations et conseils de la part de la banque, mais il décide toujours lui-même des opérations à effectuer; la banque ne peut en entreprendre que sur instructions ou avec l'accord de son client (arrêts du Tribunal fédéral 4A_54/2017 du 29 janvier 2018 consid. 5.1.3; 4A_90/2011 du 22 juin 2011 consid. 2.2.1; 4A_262/2008 du 23 septembre 2008 consid. 2.1). Ce pouvoir décisionnel constitue le principal critère de distinction par rapport au contrat de gestion de fortune (arrêts du Tribunal fédéral 4A_168/2008 du 11 juin 2008 consid. 2.1, in SJ 2009 I 13; 4A_525/2011 du 3 février 2012 consid. 3.1, in PJA 2012 1317). Le client doit supporter seul le risque découlant de sa décision, sachant qu'il ne peut pas se fier sûrement à un conseil concernant un événement futur et incertain (ATF 119 II 333 consid. 7a). Le client peut conclure par écrit avec sa banque – ou avec une société spécialisée vendant des conseils en matière de gestion de portefeuille, les banques suisses proposant rarement de tels contrats – un contrat de conseil en placements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Il s'agit ici d'une participation active d'une banque ou d'un autre expert à la planification d'investissements et à leurs changements dans le temps. L'obligation assumée par la banque, ou par un autre expert, de conseiller régulièrement le client se rapproche de l'obligation de gérer du contrat de gestion de fortune, dont il se distingue par le fait que c'est le client qui décide en dernière analyse des placements à effectuer (arrêts du Tribunal fédéral 4A_593/2015 du 13 décembre 2016 consid. 7.1.3; 4A_168/2008 du 11 juin 2008 consid. 2.2). Le conseil demandé peut aussi être ponctuel (LOMBARDINI, Droit bancaire suisse, 2ème éd., 2008, n. 10, p. 791). Lorsque la banque dispense des conseils ponctuels, à chaque nouveau conseil donné par la banque un nouveau contrat de conseil est conclu. Les effets du contrat s'épuisent de façon instantanée: soit le conseil est suivi, soit il n'est pas suivi. Doit être réservé le cas de la banque qui donne un conseil fondé sur un élément objectivement faux (LOMBARDINI, op. cit., n. 12, p. 791). La signature d'un document contractuel n'est pas nécessaire pour prouver l'existence du contrat de conseil. Le contrat peut être conclu par actes concluants (LOMBARDINI, op. cit., n. 14, p. 792). Dans le contrat de simple compte/dépôt bancaire ("execution only") en revanche, la banque s'engage uniquement à exécuter les instructions ponctuelles</w:t>
      </w:r>
    </w:p>
    <w:p>
      <w:r>
        <w:t>- 30/42 -</w:t>
      </w:r>
    </w:p>
    <w:p>
      <w:r>
        <w:t>C/20201/2016 d'investissement du client, sans être tenue de veiller à la sauvegarde générale des intérêts de celui-ci (arrêts du Tribunal fédéral 4A_54/2017 du 29 janvier 2018, consid. 5.1.4; 4C_385/2006 du 2 avril 2007 consid. 2.1; 4A_369/2015 du 25 avril 2016 consid. 2). Partant, la banque n'a pas à vérifier le caractère approprié d'une opération demandée par le client, ni l'adéquation de celle-ci par rapport à l'ensemble de son portefeuille. La banque n'a pas non plus un devoir de conseiller spontanément le client sur les développements probables des investissements choisis et sur les mesures à prendre pour limiter ses risques (DE SENARCLENS/HARRISON, Le crédit Lombard et l'effet levier, in SJ 2021 II 47 ss, p. 61). Exceptionnellement, il y a lieu d'admettre que la banque a un devoir de mise en garde lorsqu'elle se rend compte ou devait se rendre compte, en faisant preuve de l'attention commandée par les circonstances, que le client n'a pas identifié le risque lié au placement qu'il envisage. Il existe également un devoir d'information lorsque, dans le cadre d'une relation d'affaires durable entre le client et la banque, un rapport particulier de confiance s'est développé, en vertu duquel le premier peut, sur la base des règles de la bonne foi, attendre des avertissements de la seconde, même si le client ne les a pas demandés (ATF 133 III 97 consid. 7.1.2; arrêt du Tribunal fédéral 4A_54/2017 du 29 janvier 2018 consid. 5.1.4; DE SENARCLENS/HARRISON, op. cit., p. 61). Savoir si les parties ont conclu un contrat de compte/dépôt ou un contrat de conseil en placements ne dépend donc pas exclusivement du contrat écrit passé (ATF 133 III 97 consid. 7.2),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w:t>
      </w:r>
    </w:p>
    <w:p>
      <w:r>
        <w:rPr>
          <w:b/>
        </w:rPr>
        <w:t>E. 5.1.2</w:t>
      </w:r>
    </w:p>
    <w:p>
      <w:r>
        <w:t>Pour qualifier un contrat, le juge doit interpréter les manifestations de volonté (ATF 131 III 606 consid. 4.1; arrêts du Tribunal fédéral 4A_155/2017 du 12 octobre 2017 consid. 2.3; 4A_145/2016 du 19 juillet 2016 consid. 5.2.1).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w:t>
      </w:r>
    </w:p>
    <w:p>
      <w:r>
        <w:t>- 31/42 -</w:t>
      </w:r>
    </w:p>
    <w:p>
      <w:r>
        <w:t>C/20201/2016 comprises (ATF 142 III 239 consid. 5.2.1; arrêts du Tribunal fédéral 4A_155/2017 du 12 octobre 2017 consid. 2.3 et 4A_508/2016 du 16 juin 2017 consid. 6.2.1, non publié aux ATF 143 III 348).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w:t>
      </w:r>
    </w:p>
    <w:p>
      <w:r>
        <w:rPr>
          <w:b/>
        </w:rPr>
        <w:t>E. 5.2</w:t>
      </w:r>
    </w:p>
    <w:p>
      <w:r>
        <w:t>En l'espèce, il y a lieu de déterminer si les parties ont manifesté une réelle et commune intention de conclure un contrat de durée de conseil en placement, un contrat de dépôt avec conseils en placements ponctuels ou encore un simple contrat de dépôt. Il n'est plus contesté en appel que les parties n'ont pas été liées par un contrat de gestion de fortune.</w:t>
      </w:r>
    </w:p>
    <w:p>
      <w:r>
        <w:rPr>
          <w:b/>
        </w:rPr>
        <w:t>E. 5.2.1</w:t>
      </w:r>
    </w:p>
    <w:p>
      <w:r>
        <w:t>Aucun contrat écrit "durable" de conseil en placement n'a été conclu entre les parties avant le 22 janvier 2014. L'opération litigieuse sur le compte de l'appelante ayant eu lieu en 2008, il y a lieu de déterminer quelle était la relation qui liait les parties à ce moment-là. Tout d'abord, il ressort du dossier que l'appelante donnait régulièrement à l'intimée divers ordres écrits ou par téléphone s'agissant de transferts d'argent ou de paiements de factures. Une telle activité relève d'un simple contrat de dépôt. Cela étant, il ressort du document "Vue d'ensemble des contacts" qu'à deux reprises en 2003 (le 25 août et le 16 novembre), soit l'année de l'ouverture de la relation bancaire, l'intimée a formulé des propositions d'investissements, que l'appelante a validées, à tout le moins pour l'une d'entre elle (i.e. celle du 16 novembre 2003). Ceci plaide en faveur d'un contrat de conseil en placement. Toutefois, aucune autre proposition d'investissement de l'intimée ne ressort du dossier, de sorte que, prima facie, il ne peut être retenu qu'un contrat "durable" de conseil en placement aurait été conclu entre les parties. Pour trancher la question, il y a encore lieu d'examiner les connaissances financières de l'appelante ainsi que de déterminer si la relation entre les parties était suffisamment étroite pour que les parties aient voulu se lier par un contrat</w:t>
      </w:r>
    </w:p>
    <w:p>
      <w:r>
        <w:t>- 32/42 -</w:t>
      </w:r>
    </w:p>
    <w:p>
      <w:r>
        <w:t>C/20201/2016 "durable" de conseil en placement ou s'il ne s'agissait que de conseils en placements ponctuels dont les effets s'épuisaient après chaque conseil, le reste du temps les parties étant liées par un contrat de dépôt. La pièce intitulée "Vue d'ensemble des contacts" fait état de plusieurs investissements sollicités par l'appelante sans qu'une proposition d'investissement n'émane de l'intimée (à savoir ceux des 26 septembre 2003, 21 juillet 2008,</w:t>
      </w:r>
    </w:p>
    <w:p>
      <w:r>
        <w:rPr>
          <w:b/>
        </w:rPr>
        <w:t>E. 5.2.2</w:t>
      </w:r>
    </w:p>
    <w:p>
      <w:r>
        <w:t>Il y a dès lors lieu de déterminer si, pour l'investissement litigieux en particulier, les parties ont conclu un contrat de conseil en placement. Le dossier ne comprend aucune proposition écrite de l'intimée à propos de cet investissement. En revanche, l'expert a relevé que, si la banque avait recommandé en novembre 2008 de conserver le titre litigieux, elle suivait celui-ci et une recommandation d'achat avait donc été formulée au préalable par l'intimée. Le témoin L______ a déclaré que l'intimée avait eu plusieurs fois des soucis avec la conseillère de l'appelante en raison du fait que des clients n'étaient pas forcément informés des investissements qu'elle faisait et qu'elle avait acheté les obligations litigieuses sur plusieurs portefeuilles de clients qui s'étaient ensuite plaints de cet investissement. Il y avait, selon ce témoin, au moins cinq ou six clients qui détenaient cette obligation dans leur portefeuille, ce qui était surprenant par rapport à un titre aussi "exotique d'aluminium chinois". Il en découle que l'intimée avait recommandé l'achat de cette obligation, que la conseillère avait acheté sur plusieurs portefeuilles, dont celui de l'appelante. Autre est la question de savoir si l'appelante avait donné ou non son accord pour l'achat de cette obligation, question qui sera examinée ci-après (cf. consid. 6.2 infra). Partant, un contrat de conseil en placement a bien été conclu entre les parties s'agissant de l'investissement litigieux, et la responsabilité de l'intimée doit être examinée sous cet angle.</w:t>
      </w:r>
    </w:p>
    <w:p>
      <w:r>
        <w:rPr>
          <w:b/>
        </w:rPr>
        <w:t>E. 6</w:t>
      </w:r>
    </w:p>
    <w:p>
      <w:r>
        <w:t>L'appelante fait grief au Tribunal d'avoir nié la responsabilité de l'intimée s'agissant du dommage découlant de l'investissement litigieux.</w:t>
      </w:r>
    </w:p>
    <w:p>
      <w:r>
        <w:rPr>
          <w:b/>
        </w:rPr>
        <w:t>E. 6.1</w:t>
      </w:r>
    </w:p>
    <w:p>
      <w:r>
        <w:t>En vertu de l'art. 398 al. 1 CO, qui renvoie à l'art. 321e al. 1 CO, le mandataire répond du dommage qu'il cause au mandant intentionnellement ou par négligence. Sa responsabilité est subordonnée aux quatre conditions suivantes, conformément au régime général de l'art. 97 CO : une violation des obligations qui lui incombent en vertu du contrat, notamment la violation de ses obligations de diligence et de fidélité (art. 398 al. 2 CO) ; un dommage ; un rapport de causalité (naturelle et adéquate) entre la violation du contrat et le dommage ; et une faute. Le mandant supporte le fardeau de l'allégation objectif et le fardeau de la preuve des trois premières conditions, conformément à l'art. 8 CC. Il incombe en revanche au mandataire de prouver qu'aucune faute ne lui est imputable, étant rappelé que la faute est présumée (ATF 147 III 463 consid. 4.1; arrêts du Tribunal fédéral 4A_9/2021 du 12 janvier 2022 consid. 4.1.1; 4A_594/2017 du 13 novembre 2018 consid. 4.3.2).</w:t>
      </w:r>
    </w:p>
    <w:p>
      <w:r>
        <w:t>- 35/42 -</w:t>
      </w:r>
    </w:p>
    <w:p>
      <w:r>
        <w:t>C/20201/2016</w:t>
      </w:r>
    </w:p>
    <w:p>
      <w:r>
        <w:rPr>
          <w:b/>
        </w:rPr>
        <w:t>E. 6.1.1</w:t>
      </w:r>
    </w:p>
    <w:p>
      <w:r>
        <w:t>En tant que mandataire, la banque doit se conformer aux instructions de son client (art. 397 CO) et répond de leur bonne et fidèle exécution (art. 398 CO). En vertu de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Le mandataire ayant violé le contrat répond du dommage qu'il cause de ce fait au mandant. Il peut toutefois se libérer de sa responsabilité en prouvant soit que le non-respect de l'instruction ne lui est pas imputable, soit que son comportement a été approuvée par le mandant (WERRO, Commentaire romand, Code des obligations I, 2021, n. 14 ad art. 397 CO).</w:t>
      </w:r>
    </w:p>
    <w:p>
      <w:r>
        <w:rPr>
          <w:b/>
        </w:rPr>
        <w:t>E. 6.1.2</w:t>
      </w:r>
    </w:p>
    <w:p>
      <w:r>
        <w:t>En vertu de la clause de "réclamation"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(arrêts du Tribunal fédéral 4A_161/2020 du 6 juillet 2020 consid. 5.2.1; 4A_119/2018 du</w:t>
      </w:r>
    </w:p>
    <w:p>
      <w:r>
        <w:rPr>
          <w:b/>
        </w:rPr>
        <w:t>E. 6.1.3</w:t>
      </w:r>
    </w:p>
    <w:p>
      <w:r>
        <w:t>Par la clause de courrier en banque restante, la banque accepte de conserver chez elle, dans le dossier bancaire du client, les avis qu'elle doit lui adresser, mais prévoit que les communications ainsi faites sont opposables à celui-ci comme s'il</w:t>
      </w:r>
    </w:p>
    <w:p>
      <w:r>
        <w:t>- 36/42 -</w:t>
      </w:r>
    </w:p>
    <w:p>
      <w:r>
        <w:t>C/20201/2016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(arrêts du Tribunal fédéral 4A_118/2019 du</w:t>
      </w:r>
    </w:p>
    <w:p>
      <w:r>
        <w:rPr>
          <w:b/>
        </w:rPr>
        <w:t>E. 6.1.4</w:t>
      </w:r>
    </w:p>
    <w:p>
      <w:r>
        <w:t>Si l'application stricte de la clause de banque restante, entraînant fiction de réception, combinée avec la clause de réclamation, emportant fiction de ratification, conduit à des conséquences choquantes, le juge peut exclure celles-ci</w:t>
      </w:r>
    </w:p>
    <w:p>
      <w:r>
        <w:t>- 37/42 -</w:t>
      </w:r>
    </w:p>
    <w:p>
      <w:r>
        <w:t>C/20201/2016 en se fondant sur les règles de l'abus de droit (art. 2 al. 2 CC; arrêts du Tribunal fédéral 4A_119/2018 du 7 janvier 2019 consid. 6.1.3; 4A_471/2017 du 3 septembre 2018 consid. 4.2.3; 4A_386/2016 du 5 décembre 2016 consid. 3.2.3; 4A_614/2016 du 3 juillet 2017 consid. 6.1; 4A_42/2015 du 9 novembre 2015 consid. 5.2).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"execution only" ou de conseil en placement) (arrêts du Tribunal fédéral 4A_118/2019 du 9 août 2019 consid. 3.2.1; 4A_119/2018 du 7 janvier 2019 consid. 6.1.3; 4A_471/2017 du 3 septembre 2018 consid. 4.2.3; 4A_386/2016 du 5 décembre 2016 consid. 3.2.3; 4A_42/2015 du 9 novembre 2015 consid. 5.2; 4A_262/2008 du 23 septembre 2008 consid. 2.3; 4C.378/2004 du 30 mai 2015 consid. 2.2).</w:t>
      </w:r>
    </w:p>
    <w:p>
      <w:r>
        <w:rPr>
          <w:b/>
        </w:rPr>
        <w:t>E. 6.1.5</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sa partie adverse doit prouver les faits qui entraînent l'extinction ou la perte du droit (ATF 130 III 321 consid. 3.1). En règle générale, la preuve d'un fait contesté n'est rapportée au regard de l'art. 8 CC que si le juge a acquis la conviction de l'existence de ce fait. Lorsque le juge constate qu'un fait s'est produit ou ne s'est pas produit, il est parvenu à un résultat. En tant que règle légale, le fardeau de la preuve n'intervient que lorsque le juge ne parvient pas à un résultat, s'il ne peut déterminer si le fait s'est produit ou non (ATF 119 III 103 consid. 1; 118 II 142 consid. 3a; 114 II 289 consid. 2a). La règle de l'art. 8 CC s'applique en principe également lorsque la preuve porte sur des faits négatifs, c'est-à-dire que celui qui les allègue doit les prouver. Cette exigence est toutefois tempérée par les règles de la bonne foi qui obligent le défendeur à coopérer à la procédure probatoire, notamment en offrant la preuve du contraire. L'obligation, faite à la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w:t>
      </w:r>
    </w:p>
    <w:p>
      <w:r>
        <w:t>- 38/42 -</w:t>
      </w:r>
    </w:p>
    <w:p>
      <w:r>
        <w:t>C/20201/2016 résultat de la collaboration de la partie adverse ou qu'il tirera les conséquences d'un refus de collaborer à l'administration de la preuve (ATF 119 II 305 consid. 1.b/aa).</w:t>
      </w:r>
    </w:p>
    <w:p>
      <w:r>
        <w:rPr>
          <w:b/>
        </w:rPr>
        <w:t>E. 6.2</w:t>
      </w:r>
    </w:p>
    <w:p>
      <w:r>
        <w:t>En l'espèce, l'appelante soutient ne jamais avoir donné son accord à ce que l'intimée procède à l'investissement litigieux sur son compte, ce que cette dernière conteste, exposant que l'instruction de l'appelante était intervenue oralement. S'agissant d'un fait négatif, la collaboration de l'intimée était nécessaire pour répondre à la question. Il ressort du dossier que l'intimée a fourni de nombreux documents à la procédure, mais le dossier ne fait état d'aucune confirmation écrite d'une instruction orale de l'appelante pour l'achat de l'obligation litigieuse. Le Tribunal a retenu qu'une pratique orale s'était installée entre les parties s'agissant des ordres d'investissements passés par l'appelante, puisqu'il ne ressortait des documents produits aucune trace concernant les ordres écrits ou les confirmations écrites d'ordres oraux des 65 investissements ayant figuré dans le portefeuille de l'appelante entre 2005 et 2011 et aucun de ces ordres, hormis celui qui était litigieux, n'avait été contesté. Ainsi, l'appelante avait dû donner oralement à l'intimée l'instruction d'acheter l'investissement litigieux, car si celui-ci avait été fait sans son accord, elle l'aurait certainement contesté. A titre superfétatoire, le Tribunal a relevé que même si aucun ordre n'avait été donné par la cliente quant à l'achat des obligations litigieuses et que la conseillère avait acquis ces titres sans le consentement de sa cliente, cette opération avait été ratifiée par l'appelante et celle-ci ne pouvait plus s'en plaindre dans le cadre de la présente procédure. Ce raisonnement ne prête pas le flanc à la critique. En effet, de deux choses l'une.</w:t>
      </w:r>
    </w:p>
    <w:p>
      <w:r>
        <w:rPr>
          <w:b/>
        </w:rPr>
        <w:t>E. 6.2.1</w:t>
      </w:r>
    </w:p>
    <w:p>
      <w:r>
        <w:t>Si l'appelante a donné son accord à l'investissement litigieux, les effets du contrat de conseil en placement se sont immédiatement épuisés, l'intimée n'ayant pas donné un conseil fondé sur un élément objectivement faux.</w:t>
      </w:r>
    </w:p>
    <w:p>
      <w:r>
        <w:rPr>
          <w:b/>
        </w:rPr>
        <w:t>E. 6.2.1.1</w:t>
      </w:r>
    </w:p>
    <w:p>
      <w:r>
        <w:t>En effet, l'intimée a respecté son obligation d'information et de diligence, puisqu'elle a au préalable informé l'appelante des risques liés à ce type d'opération en lui transmettant la brochure y relative au moment de l'ouverture de la relation bancaire. De plus, selon l'expert, au moment de l'achat des obligations litigieuses, le prix des matières premières et de l'aluminium n'était pas encore affecté par le ralentissement économique en cours, il n'y avait aucun élément s'opposant à procéder à cet investissement, le profil de risque était respecté et d'autres actifs spéculatifs figuraient dans le portefeuille de l'appelante (cf. consid. 6.2.1.2 infra). Il ne peut dès lors être reproché à l'intimée de ne pas avoir donné davantage d'informations à l'appelante à propos de cet investissement, ce d'autant plus en l'absence d'une relation de confiance particulièrement étroite entre les parties.</w:t>
      </w:r>
    </w:p>
    <w:p>
      <w:r>
        <w:rPr>
          <w:b/>
        </w:rPr>
        <w:t>E. 6.2.1.2</w:t>
      </w:r>
    </w:p>
    <w:p>
      <w:r>
        <w:t>Les connaissances de l'appelante en matière de finance lui avaient permis de comprendre l'investissement recommandé et de l'accepter en toute</w:t>
      </w:r>
    </w:p>
    <w:p>
      <w:r>
        <w:t>- 39/42 -</w:t>
      </w:r>
    </w:p>
    <w:p>
      <w:r>
        <w:t>C/20201/2016 connaissance de cause. Ceci est d'autant plus vrai que l'investissement respectait le profil de risque convenu. En effet, lors de l'ouverture de la relation bancaire, l'appelante était convenue avec l'intimée d'une tolérance au risque faible. Au 6 février 2008, l'appelante disposait d'actifs risqués à hauteur de 3.58 % (notés BB). Après l'achat des obligations litigieuses, les actifs risqués sont passés à 19.83 % (notés BB pour 6.32% des actifs et B+ pour 13.51%). Selon l'expert, lequel n'a pu se baser que sur un document de l'intimée datant de 2014, un profil de risque faible pouvait aller jusqu'à 35% d'actifs spéculatifs tandis que selon le représentant de l'intimée, le pourcentage admissible pour un tel profil à l'époque de l'investissement litigieux s'élevait à 25%. Quoi qu'il en soit, l'investissement litigieux, bien qu'ayant participé à l'augmentation du pourcentage des investissements risqués du portefeuille de l'appelante, n'a pas eu pour conséquence de changer le profil de risque du portefeuille de l'appelante initialement convenu. L'expert a en outre confirmé que, bien que la performance annuelle de 2008 était celle d'un portefeuille avec une tolérance au risque élevé, le profil de risque faible était respecté au moment de l'achat de l'obligation litigieuse. Il a également précisé que vouloir introduire une allocation à haut rendement pour environ 6% des avoirs dans un portefeuille dont la part d'actions demeurait raisonnable, n'était pas en soi problématique, même dans le contexte de mai 2008, bien qu'une telle répartition ne soit pas appropriée, faute de diversification suffisante. Les parties ne pouvaient pas prédire l'effondrement économique qui allait survenir et qui avait eu pour conséquence que la performance annuelle du portefeuille allait devenir celle d'un profil de risque élevé.</w:t>
      </w:r>
    </w:p>
    <w:p>
      <w:r>
        <w:rPr>
          <w:b/>
        </w:rPr>
        <w:t>E. 6.2.1.3</w:t>
      </w:r>
    </w:p>
    <w:p>
      <w:r>
        <w:t>Les relevés de fortune trimestriels étaient régulièrement établis et déposés en "banque restante". Avant chaque rencontre entre les parties, de nouveaux relevés de fortune étaient établis et remis en mains propres à l'appelante, soit en Suisse, soit en Russie. L'appelante prenait, comme vu plus haut (cf. consid. 5.2.1 supra), parfois quelques jours pour en prendre connaissance avant de les restituer à la conseillère. L'appelante elle-même ne conteste pas que les relevés de fortune lui ont régulièrement été remis, y compris celui faisant apparaître l'investissement litigieux, et qu'elle ne les a pas contestés. L'accord préalable à l'investissement litigieux explique, dans ce cas de figure, la raison pour laquelle l'appelante n'a pas contesté ledit relevé de fortune après en avoir pris connaissance. Au vu de ce qui précède, aucune violation du contrat ne peut être reprochée à l'intimée dans cette hypothèse.</w:t>
      </w:r>
    </w:p>
    <w:p>
      <w:r>
        <w:rPr>
          <w:b/>
        </w:rPr>
        <w:t>E. 6.2.2</w:t>
      </w:r>
    </w:p>
    <w:p>
      <w:r>
        <w:t>Dans l'hypothèse où la conseillère de l'intimée aurait procédé à l'investissement en passant outre le désaccord de l'appelante – ce qui constituerait effectivement une violation du contrat –, l'opération litigieuse a été ratifiée a posteriori par l'appelante. En effet, comme relevé plus haut, l'appelante a reçu les</w:t>
      </w:r>
    </w:p>
    <w:p>
      <w:r>
        <w:t>- 40/42 -</w:t>
      </w:r>
    </w:p>
    <w:p>
      <w:r>
        <w:t>C/20201/2016 relevés de fortune faisant état de cet investissement, celui-ci respectait le profil de risque convenu et l'appelante disposait des connaissances nécessaires pour le savoir, avait été informée des risques de ce type d'opération, mais n'a pourtant pas contesté l'opération dans les quatre semaines suivant l'établissement desdits relevés. L'intimée ne commet aucun abus de droit en se prévalant des fictions de notification et de ratification. Il n'est démontré en effet ni que l'intimée aurait sciemment agi au détriment de l'appelante, ni qu'elle se serait intentionnellement écartée du profil de risque convenu, ni qu'elle aurait su que l'appelante ne consultait pas les actes communiqués en banque restante, ce qui n'était au demeurant pas le cas. Par conséquent, indépendamment de la réponse à la question de savoir si l'accord de l'appelante a été donné pour l'investissement litigieux, le résultat est le même, à savoir que la responsabilité de l'intimée n'est pas engagée pour l'acquisition de l'investissement.</w:t>
      </w:r>
    </w:p>
    <w:p>
      <w:r>
        <w:rPr>
          <w:b/>
        </w:rPr>
        <w:t>E. 6.2.3</w:t>
      </w:r>
    </w:p>
    <w:p>
      <w:r>
        <w:t>Reste à déterminer si l'intimée devait mettre en garde l'appelante lorsque le cours de l'obligation litigieuse a commencé à chuter en juillet 2008. Le Tribunal a répondu par la négative à cette question en ayant retenu au préalable que les parties étaient liées par un contrat de dépôt. La Cour ayant retenu la conclusion d'un contrat de conseil en placement, l'intimée devait suivre l'évolution de l'obligation litigieuse et, cas échéant, conseiller l'appelante si elle constatait un problème dont celle-ci ne se rendait pas compte. Or, en juillet 2008, selon l'expert, l'intimée avait anticipé une poursuite du ralentissement économique, mais elle ne parlait pas de récession et encore moins d'effondrement. Malgré les difficultés des sociétés actives dans les matières premières, l'intimée était optimiste sur l'évolution de l'activité de la société émettrice de l'obligation litigieuse, la possibilité de faillite n'étant même pas envisagée. A cette époque, il aurait été possible de vendre les obligations litigieuses, bien que difficilement pour des ordres d'un montant de 700'000 USD, les marchés étant déjà illiquides en été 2008. En se fondant seulement sur le marché de l'aluminium, il n'y avait pas de raison de paniquer en août 2008, malgré la baisse depuis les plus hauts de l'année. Force est ainsi de constater que l'intimée n'avait pas à attirer l'attention de l'appelante à ce moment-là. La recommandation officielle de l'intimée en novembre 2008, alors que la situation s'était encore péjorée, était de conserver les positions. L'expert a indiqué qu'il n'était "pas choquant" de conseiller de conserver ce titre, même illiquide, dans le contexte de l'époque en 2008 et la prévision de l'intimée était que la société émettrice allait s'en sortir. Les obligations litigieuses auraient été en tout état particulièrement difficiles à vendre durant le dernier trimestre de l'année</w:t>
      </w:r>
    </w:p>
    <w:p>
      <w:r>
        <w:t>- 41/42 -</w:t>
      </w:r>
    </w:p>
    <w:p>
      <w:r>
        <w:t>C/20201/2016 2008. Certes, l'expert a également relevé que la taille de la position en obligations litigieuses de l'appelante n'était pas adaptée. Cela étant, le risque en découlant avait été pris par l'appelante, celle-ci ayant accepté l'investissement litigieux, que ce soit avant l'achat ou par ratification postérieure comme vu plus haut (cf. consid. 6.2.1 et 6.2.2 supra), et l'appelante disposant de toutes les connaissances et informations nécessaires pour en être consciente et l'assumer. Ainsi, il ne peut être reproché à l'intimée une absence de mise en garde de l'appelante.</w:t>
      </w:r>
    </w:p>
    <w:p>
      <w:r>
        <w:rPr>
          <w:b/>
        </w:rPr>
        <w:t>E. 6.3</w:t>
      </w:r>
    </w:p>
    <w:p>
      <w:r>
        <w:t>A la lumière des éléments qui précèdent, c'est à juste titre que le Tribunal a débouté l'appelante de ses conclusions et le jugement entrepris sera confirmé. 7.</w:t>
      </w:r>
    </w:p>
    <w:p>
      <w:r>
        <w:rPr>
          <w:b/>
        </w:rPr>
        <w:t>E. 7</w:t>
      </w:r>
    </w:p>
    <w:p>
      <w:r>
        <w:t>janvier 2019 consid. 6.1.2; 4A_471/2017 du 3 septembre 2018 consid. 4.2.2).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4A_161/2020 du 6 juillet 2020 consid. 5.2.1; 4A_119/2018 précité consid. 6.1.2). S'il n'est pas d'accord avec les opérations non autorisées, le client ne peut pas se contenter d'une réclamation téléphonique auprès de son chargé de relation et attendre le développement de cet investissement non souhaité pour contester les opérations plusieurs mois plus tard, lorsque les pertes sont intervenues.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4A_556/2019 du 29 septembre 2020 consid. 5.2; 4A_449/2018 du 25 mars 2018 consid. 4.2; 4A_42/2015 du 9 novembre 2015 consid. 5.2).</w:t>
      </w:r>
    </w:p>
    <w:p>
      <w:r>
        <w:rPr>
          <w:b/>
        </w:rPr>
        <w:t>E. 7.1</w:t>
      </w:r>
    </w:p>
    <w:p>
      <w:r>
        <w:t>Dans la mesure où le jugement attaqué est entièrement confirmé, il n'y a pas lieu de statuer à nouveau sur les frais de première instance (art. 318 al. 3 CPC a contrario), dont la quotité n'est pas critiquée en appel.</w:t>
      </w:r>
    </w:p>
    <w:p>
      <w:r>
        <w:rPr>
          <w:b/>
        </w:rPr>
        <w:t>E. 7.2</w:t>
      </w:r>
    </w:p>
    <w:p>
      <w:r>
        <w:t>Les frais judiciaires d'appel seront arrêtés à 27'000 fr. (art. 17 et 35 RTFMC) et mis à la charge de l'appelante, qui succombe (art. 106 al. 1 CPC). Ils seront compensés avec l'avance fournie par celle-ci, laquelle demeure acquise à l'Etat de Genève (art. 111 al. 1 CPC). L'appelante versera en outre à l'intimée 21'000 fr., débours et TVA compris, à titre de dépens d'appel (art. 84, 85 et 90 RTFMC; art. 25 et 26 LaCC). * * * * *</w:t>
      </w:r>
    </w:p>
    <w:p>
      <w:r>
        <w:t>- 42/42 -</w:t>
      </w:r>
    </w:p>
    <w:p>
      <w:r>
        <w:t>C/20201/2016 PAR CES MOTIFS, La Chambre civile : A la forme : Déclare recevable l'appel interjeté le 15 mai 2023 par A______ LTD contre le jugement JTPI/3974/2023 rendu le 27 mars 2023 par le Tribunal de première instance dans la cause C/20201/2016. Au fond : Confirme le jugement entrepris. Déboute les parties de toutes autres conclusions. Sur les frais : Arrête les frais judiciaires d'appel à 27'000 fr., les met à la charge de A______ LTD et les compense avec l'avance effectuée, qui demeure acquise à l'Etat de Genève. Condamne A______ LTD à verser 21'000 fr. à B______ à titre de dépens d'appel. Siégeant : Monsieur Ivo BUETTI, président; Madame Nathalie RAPP,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août 2019 consid. 3.2.1; 4A_119/2018 du 7 janvier 2019 consid. 6.1.1; 4A_471/2017 du 3 septembre 2018 consid. 4.2.1; 4A_386/2016 du 5 décembre 2016 consid. 3.2.2; 4A_262/2008 du 23 septembre 2008 consid. 2.3; 4C_378/2004 du 30 mai 2005, reproduit in SJ 2006 I 1, consid. 2.2). En effet, l'option banque restante n'est pas utilisée dans l'intérêt de la banque mais bien dans celui du client, qui, pour des raisons lui étant propres,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(arrêts du Tribunal fédéral 4A_118/2019 du 9 août 2019 consid. 3.2.1; 4A_119/2018 du 7 janvier 2019 consid. 6.1.1; 4A_471/2017 du 3 septembre 2018 consid. 4.2.1; 4A_386/2016 du 5 décembre 2016 consid. 3.2; 4A_42/2015 du 9 novembre 2015 consid. 6.3; 4A_262/2008 du 23 septembre 2008 consid. 2.3; 4C_378/2004 du 30 mai 2015 consid. 2.2). La clause de réclamation – et sa fiction de ratification – est applicable aux clients auxquels les communications sont faites en banque restante (arrêts du Tribunal fédéral 4A_119/2018 précité consid. 6.1.2; 4A_471/2017 précité consid. 4.2.2). Elles sont applicables quel que soit le type de contrat conclu (arrêt du Tribunal fédéral 4A_471/2017 du 3 septembre 2018 consid. 4.1.1). Lorsque le client réceptionne effectivement les communications qui lui avaient été adressées en banque restante, on peut se demander si l'art. 3 CC ne lui imposerait pas de contester immédiatement, et non dans le délai d'un mois prévu généralement, les opérations qui s'écartent de la stratégie convenue (en cas de gestion de fortune) ou qu'il n'a pas autorisées (en cas de contrat "execution only" ou de conseil en placements) et qu'il découvre ou devrait découvrir en y prêtant l'attention que les circonstances permettent d'exiger de lui. Le Tribunal fédéral a toutefois laissé la question ouverte (arrêt du Tribunal fédéral 4A_471/2017 du 3 septembre 2018 consid.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