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ACJC/22/2015 vom 12. Januar 2015</w:t>
      </w:r>
    </w:p>
    <w:p>
      <w:r>
        <w:t>GE Cour de justice, 2015-01-12, FR</w:t>
      </w:r>
    </w:p>
    <w:p>
      <w:r>
        <w:rPr>
          <w:b/>
        </w:rPr>
        <w:t xml:space="preserve">Quelle: </w:t>
      </w:r>
      <w:r>
        <w:t>https://mcp.opencaselaw.ch/entscheid/ge_gerichte_ACJC_22_2015</w:t>
      </w:r>
    </w:p>
    <w:p>
      <w:r>
        <w:t>FR: GE_GERICHTE ACJC/22/2015 du 12 janvier 2015</w:t>
      </w:r>
    </w:p>
    <w:p>
      <w:r>
        <w:t>IT: GE_GERICHTE ACJC/22/2015 del 12 gennaio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- 6/9 -</w:t>
      </w:r>
    </w:p>
    <w:p>
      <w:r>
        <w:t>C/23117/2013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mensuel des emplacements s'élève à 855 fr. et les appe- lants font valoir la protection contre les congés des art. 271 ss CO. En prenant en compte la période de trois ans, la valeur litigieuse est supérieure à 10'000 fr., de sorte que la voie de l'appel est ouverte.</w:t>
      </w:r>
    </w:p>
    <w:p>
      <w:r>
        <w:rPr>
          <w:b/>
        </w:rPr>
        <w:t>E. 1.3</w:t>
      </w:r>
    </w:p>
    <w:p>
      <w:r>
        <w:t>L'appel, interjeté dans le délai et suivant la forme prescrits par la loi (art. 130, 131, 311 al. 1 CPC) est recevable.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les actes relatifs à la procédure devant la Chambre administrative (recours et observations), produits pour la première fois en appel sont irreceva- bles, puisqu'ils auraient pu l'être devant les premiers juges. Le projet de loi, fait notoire (art. 151 CPC), est recevable.</w:t>
      </w:r>
    </w:p>
    <w:p>
      <w:r>
        <w:rPr>
          <w:b/>
        </w:rPr>
        <w:t>E. 3</w:t>
      </w:r>
    </w:p>
    <w:p>
      <w:r>
        <w:t>Les appelants reprochent au Tribunal d'avoir retenu que les art. 266l et 266o, res- pectivement 271 et ss CO, ne s'appliquaient pas à la présente cause. La destination de la chose louée était l'habitation, de sorte que ces dispositions devaient s'appli- quer, au moins par analogie.</w:t>
      </w:r>
    </w:p>
    <w:p>
      <w:r>
        <w:rPr>
          <w:b/>
        </w:rPr>
        <w:t>E. 3.1</w:t>
      </w:r>
    </w:p>
    <w:p>
      <w:r>
        <w:t>Le législateur a institué des dispositions spéciales applicables en matière de baux d'habitations et de locaux commerciaux. Les notions d'habitation et de local commercial ne sont toutefois pas définies par le Code des obligations.</w:t>
      </w:r>
    </w:p>
    <w:p>
      <w:r>
        <w:t>- 7/9 -</w:t>
      </w:r>
    </w:p>
    <w:p>
      <w:r>
        <w:t>C/23117/2013 On entend par habitations les locaux loués pour y habiter, qu'il s'agisse d'apparte- ments et chambres meublés ou non. Ce sont des espaces protégés contre les in- fluences extérieures et garantissant une certaine sphère privée. La location de ter- rains nus destinés à accueillir de petites maisons de week-end ("cabanons") ne représente pas un bail d'habitation, l'aménagement des constructions par le raccor- dement à la canalisation ainsi qu'à l'alimentation en eau et en électricité par des conduites souterraines ne suffisant pas à en faire des constructions immobilières, du fait du manque de lien entre lesdits cabanons et le sol (BOHNET/DIETSCHY, in Commentaire pratique du droit du bail à loyer, BOHNET/MONTINI, 2010, n. 2 et 3 ad art. 253a). L'art. 266l CO, qui prévoit que le bailleur doit donner le congé en utilisant une formule agréée par le canton, sous peine de nullité (art. 266o CO), est applicable aux baux d'habitations et de locaux commerciaux. De même les art. 271 et ss CO consacrent la protection contre les congés concer- nant les baux d'habitations et les locaux commerciaux. Dans un arrêt 4C.128/2006, du 12 juin 2006, dont l'état de fait était presque iden- tique à la présente espèce, le Tribunal fédéral a considéré (consid. 2) qu'un contrat de bail portant sur un emplacement destiné à l'installation de gens du voyage ne bénéficiait pas de la protection contre les congés, puisqu'il ne s'agissait pas de lo- caux d'habitation. Il a rejeté l'argument du locataire, selon lequel la parcelle lui avait été remise à bail en vue d'y habiter et pour une période durable, malgré un contrat conclu initialement pour deux ans, ce qui devrait rendre applicables les dispositions en matière de protection contre les congés. Selon le Tribunal fédéral, le locataire ne se trouvait pas dans la même situation qu'un locataire "sédentaire" d'un local d'habitation, puisqu'il occupait une caravane, conçue pour pouvoir être déplacée rapidement.</w:t>
      </w:r>
    </w:p>
    <w:p>
      <w:r>
        <w:rPr>
          <w:b/>
        </w:rPr>
        <w:t>E. 3.2</w:t>
      </w:r>
    </w:p>
    <w:p>
      <w:r>
        <w:t>En l'espèce, le contrat conclu par les parties porte sur des emplacements amé- nagés pour les gens du voyage et les forains, soit des personnes par essence non sédentaires. Le règlement d'utilisation prévoit d'ailleurs expressément que ces em- placements sont exclusivement réservés à des installations mobiles, sous réserve d'autorisation contraire. Le contrat n'a pas pour objet une "habitation" au sens défini ci-dessus. Au vu des considérations qui précèdent, les dispositions concernant la forme des congés pour les habitations et les locaux commerciaux (art. 266l et 266o) ne sont pas applicables à ce contrat, pas plus que celles concernant la protection contre les congés (art. 271 et ss CO). Il n'y a pas non plus de place pour une prolongation. Peu importe que les appelants aient loué ces emplacements pour y habiter. C'est parce qu'ils sont des gens du voyage qu'ils y ont eu accès, particularité qui em-</w:t>
      </w:r>
    </w:p>
    <w:p>
      <w:r>
        <w:t>- 8/9 -</w:t>
      </w:r>
    </w:p>
    <w:p>
      <w:r>
        <w:t>C/23117/2013 porte absence de sédentarité. Ils ne peuvent dès lors également bénéficier de la protection accordée aux locataires "sédentaires". Il n'y a pas lieu de trancher la question de savoir si ces dispositions trouveraient application, en cas d'obtention d'une autorisation d'installer une construction de type chalet, maison ou bungalow, les appelants n'étant pas au bénéfice d'une telle dérogation. Le jugement sera confirmé.</w:t>
      </w:r>
    </w:p>
    <w:p>
      <w:r>
        <w:rPr>
          <w:b/>
        </w:rPr>
        <w:t>E. 4</w:t>
      </w:r>
    </w:p>
    <w:p>
      <w:r>
        <w:t>A teneur de l'art. 22 al. 1 LaCC, il n'est pas prélevé de frais dans les causes sou- mises à la juridiction des baux et loyers (ATF 139 III 182 consid. 2.6). * * * * *</w:t>
      </w:r>
    </w:p>
    <w:p>
      <w:r>
        <w:t>- 9/9 -</w:t>
      </w:r>
    </w:p>
    <w:p>
      <w:r>
        <w:t>C/23117/2013 PAR CES MOTIFS, La Chambre des baux et loyers : A la forme : Déclare recevable l'appel interjeté le 10 juillet 2014 par A______ et B______ contre le jugement JTBL/624/2014 rendu le 5 juin 2014 par le Tribunal des baux et loyers dans la cause C/23117/2013-5-OSB.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