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ACJC/223/2020 vom 24. November 2008</w:t>
      </w:r>
    </w:p>
    <w:p>
      <w:r>
        <w:t>GE Cour de justice, 2008-11-24, FR</w:t>
      </w:r>
    </w:p>
    <w:p>
      <w:r>
        <w:rPr>
          <w:b/>
        </w:rPr>
        <w:t xml:space="preserve">Quelle: </w:t>
      </w:r>
      <w:r>
        <w:t>https://mcp.opencaselaw.ch/entscheid/ge_gerichte_ACJC_223_2020</w:t>
      </w:r>
    </w:p>
    <w:p>
      <w:r>
        <w:t>FR: GE_GERICHTE ACJC/223/2020 du 24 novembre 2008</w:t>
      </w:r>
    </w:p>
    <w:p>
      <w:r>
        <w:t>IT: GE_GERICHTE ACJC/223/2020 del 24 novembre 2008</w:t>
      </w:r>
    </w:p>
    <w:p>
      <w:pPr>
        <w:pStyle w:val="Heading2"/>
      </w:pPr>
      <w:r>
        <w:t>Erwägungen</w:t>
      </w:r>
    </w:p>
    <w:p>
      <w:r>
        <w:rPr>
          <w:b/>
        </w:rPr>
        <w:t>E. 1.1</w:t>
      </w:r>
    </w:p>
    <w:p>
      <w:r>
        <w:t>La présente procédure ayant pour objet la déclaration de force exécutoire d'une décision rendue par les autorités françaises, elle relève de la compétence du tribunal de l'exécution (art. 335 al. 3 CPC) et est soumise à la Convention de Lugano du 30 octobre 2007 concernant la compétence judiciaire, la reconnaissance et l'exécution des décisions en matière civile et commerciale [CL; RS 0.275.12], à laquelle la Suisse et la France sont parties (art. 339 al. 3 CPC).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al. 5 CL).</w:t>
      </w:r>
    </w:p>
    <w:p>
      <w:r>
        <w:rPr>
          <w:b/>
        </w:rPr>
        <w:t>E. 1.2</w:t>
      </w:r>
    </w:p>
    <w:p>
      <w:r>
        <w:t>Interjeté en temps utile et selon la forme requise par la loi (art. 130 al. 1, 131 et 321 al. 1 CPC), le recours est recevable.</w:t>
      </w:r>
    </w:p>
    <w:p>
      <w:r>
        <w:rPr>
          <w:b/>
        </w:rPr>
        <w:t>E. 2</w:t>
      </w:r>
    </w:p>
    <w:p>
      <w:r>
        <w:t>Les parties ont produit des pièces nouvelles.</w:t>
      </w:r>
    </w:p>
    <w:p>
      <w:r>
        <w:rPr>
          <w:b/>
        </w:rPr>
        <w:t>E. 2.1</w:t>
      </w:r>
    </w:p>
    <w:p>
      <w:r>
        <w:t>En vertu de l'art. 326 CPC, les conclusions, allégations de faits et les preuves nouvelles sont irrecevables (al. 1), les dispositions spéciales de la loi étant réservées (al. 2). Lorsque le recours est dirigé contre une décision du tribunal de l'exécution au sens des art. 38 à 52 de la Convention du 30 octobre 2007 concernant la compétence judiciaire, la reconnaissance et l'exécution des décisions en matière civile et commerciale (CL; RS 0.275.12), le tribunal examine avec un plein pouvoir de cognition les motifs de refus prévus par la Convention (art. 327a CPC). Dans le système de la CL,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CR-CPC, 2019, n. 5 et 6 ad art. 327a CPC). L'admission de nova dans la procédure selon l'art. 327a CPC ne peut pas se fonder sur l'art. 229 CPC (cf. ATF 138 III 625 c. 2.2), mais bien sur l'art. 317 al. 1 CPC appliqué par analogie, d'autant plus que tel qu'il est aménagé, le recours selon</w:t>
      </w:r>
    </w:p>
    <w:p>
      <w:r>
        <w:t>- 6/11 -</w:t>
      </w:r>
    </w:p>
    <w:p>
      <w:r>
        <w:t>C/15606/2019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Le droit étranger qui doit être appliqué en Suisse ne relève pas du fait, mais du droit; ainsi l'art. 16 al. 1 LDIP ne parle pas de « preuve » ("Beweis"), mais de « constatation » ("Nachweis") du droit étranger. Les éléments produits pour établir le droit étranger peuvent dès lors être pris en considération aussi en procédure de recours (ATF 138 III 232, JdT 2012 II 511).</w:t>
      </w:r>
    </w:p>
    <w:p>
      <w:r>
        <w:rPr>
          <w:b/>
        </w:rPr>
        <w:t>E. 2.2</w:t>
      </w:r>
    </w:p>
    <w:p>
      <w:r>
        <w:t>Il découle des considérations qui précèdent que les pièces produites devant la Cour par le recourant à l'appui de son recours sont recevables. Il en a été tenu compte dans l'état de fait ci-dessus. La recevabilité des pièces nouvelles déposées par le recourant à l'appui de sa réplique peut demeurer indécise dans la mesure où celles-ci ne sont pas déterminantes pour l'issue du litige. Les pièces nouvelles produites par l'intimée mais antérieures à l'ordonnance entreprise sont irrecevables. Elles sont en tout état sans pertinence pour l'issue du litige. Les dispositions légales françaises produites sont recevables.</w:t>
      </w:r>
    </w:p>
    <w:p>
      <w:r>
        <w:rPr>
          <w:b/>
        </w:rPr>
        <w:t>E. 3</w:t>
      </w:r>
    </w:p>
    <w:p>
      <w:r>
        <w:t>Le recourant fait grief au Tribunal de lui avoir notifié l'ordonnance querellée par courrier recommandé, en violation des accords conclus entre la Suisse et la France.</w:t>
      </w:r>
    </w:p>
    <w:p>
      <w:r>
        <w:rPr>
          <w:b/>
        </w:rPr>
        <w:t>E. 3.1</w:t>
      </w:r>
    </w:p>
    <w:p>
      <w:r>
        <w:t>Selon l'art. 10 let. a de la Convention relative à la signification et la notification à l'étranger des actes judiciaires et extrajudiciaires en matière civile ou commerciale, conclue à La Haye le 15 novembre 1965 (CLaH65;</w:t>
      </w:r>
    </w:p>
    <w:p>
      <w:r>
        <w:t>- 7/11 -</w:t>
      </w:r>
    </w:p>
    <w:p>
      <w:r>
        <w:t>C/15606/2019 RS 0.274.131), la Convention ne fait pas obstacle, sauf si l'Etat de destination déclare s'y opposer à la faculté d'adresser directement, par la voie de la poste, des actes judiciaires aux personnes se trouvant à l'étranger. La Suisse n'admet pas le mode de transmission prévu à l'article 10 let. a CLaH65. En vertu du principe de la réciprocité prévu à l'article 21 de la Convention de Vienne sur le droit des traités (RS 0.111), les autorités suisses doivent s'abstenir de notifier des actes à l'étranger par les voies qui ne sont pas admises en Suisse. L'Etat de destination peut toutefois renoncer à invoquer le principe de réciprocité, ce qu'a fait la France. Dès lors, il revient à l'autorité suisse requérante d'opter pour la notification par la voie postale ordinaire, Recommandé, Recommandé + AR (accusé de réception) ou de recourir à une société concessionnaire (DHL, FEDEX etc) (voir Guide de l'entraide judiciaire, https://www.rhf.admin.ch/rhf/fr/home/rechtshilfefuehrer.html).</w:t>
      </w:r>
    </w:p>
    <w:p>
      <w:r>
        <w:rPr>
          <w:b/>
        </w:rPr>
        <w:t>E. 3.2</w:t>
      </w:r>
    </w:p>
    <w:p>
      <w:r>
        <w:t>En l'espèce, l'ordonnance querellée, notifiée par pli recommandé au recourant résidant en France, l'a été conformément aux règles applicables. Le grief est infondé.</w:t>
      </w:r>
    </w:p>
    <w:p>
      <w:r>
        <w:rPr>
          <w:b/>
        </w:rPr>
        <w:t>E. 4</w:t>
      </w:r>
    </w:p>
    <w:p>
      <w:r>
        <w:t>Le recourant soutient que le jugement du Tribunal de Grande instance de F______ n'est pas revêtu de l'autorité de la chose jugée de sorte qu'il ne vaut pas titre de mainlevée définitive au sens de l'art. 271 al. 1 ch. 6 LP.</w:t>
      </w:r>
    </w:p>
    <w:p>
      <w:r>
        <w:t>4.1.1 Le créancier d'une dette échue et non garantie par gage peut requérir le séquestre des biens du débiteur qui se trouvent en Suisse lorsque le créancier possède contre le débiteur un titre de mainlevée définitive (art. 271 al. 1 ch. 6 LP). Le créancier qui est au bénéfice d'un jugement exécutoire peut requérir du juge la mainlevée définitive de l'opposition (art. 80 al. 1 LP). Dans les cas énoncés à l'al. 1 ch. 6 de l'art. 271 LP, qui concernent un jugement rendu dans un État étranger auquel s'applique la Convention du 30 octobre 2007 concernant la compétence judiciaire, la reconnaissance et l'exécution des décisions en matière civile et commerciale, le juge statue aussi sur la constatation de la force exécutoire (art. 271 al. 3 LP). 4.1.2 Les décisions rendues dans un Etat lié par la Convention de Lugano et qui y sont exécutoires sont mises à exécution dans un autre Etat lié par la Convention après y avoir été déclarées exécutoires sur requête de toute partie intéressée (art. 38 al. 1 CL). La notion de décision est celle de l'art. 32 CL. L'exigence d'être exécutoire n'implique pas celle de revêtir la force de chose jugée ou d'être définitif (BUCHER,</w:t>
      </w:r>
    </w:p>
    <w:p>
      <w:r>
        <w:t>- 8/11 -</w:t>
      </w:r>
    </w:p>
    <w:p>
      <w:r>
        <w:t>C/15606/2019 Commentaire romand, 2011, n. 2 ad art. 38 CL; VOCK, Kurzkommentar SchKG, 2ème éd., n. 9 ad art. 80 LP). Le caractère exécutoire de la décision peut être provisoire, ainsi dans l'attente d'une décision rendue en appel (BUCHER, op. cit., n. 4 ad art. 38 CL).</w:t>
      </w:r>
    </w:p>
    <w:p>
      <w:r>
        <w:t>4.1.3 La décision est déclarée exécutoire dès l'achèvement des formalités prévues à l'art. 53, sans examen au titre des art. 34 et 35 (art. 41 al. 1 CL).</w:t>
      </w:r>
    </w:p>
    <w:p>
      <w:r>
        <w:t>Selon l'art. 53 CL, la partie qui invoque la reconnaissance d'une décision ou sollicite la délivrance d'une déclaration constatant sa force exécutoire doit produire une expédition de celle-ci réunissant les conditions nécessaires à son authenticité. La partie qui sollicite la délivrance d'une déclaration constatant la force exécutoire d'une décision doit aussi produire le certificat visé à l'art. 54, sans préjudice de l'art. 55. La juridiction ou l'autorité compétente d'un Etat lié par la présente Convention dans lequel une décision a été rendue délivre, à la requête de toute partie intéressée, un certificat en utilisant le formulaire dont le modèle figure à l'annexe V de la Convention (art. 54 CL). A défaut de production du certificat visé à l'art. 54, la juridiction ou l'autorité compétente peut impartir un délai pour le produire ou accepter un document équivalent ou, si elle s'estime suffisamment éclairée, en dispenser (art. 55 al. 1 CL). Le caractère exécutoire de la décision peut notamment découler directement de la loi de l'Etat d'origine ou de la décision elle-même (ABBET, La mainlevée de l'opposition, 2017, n. 53 ad art. 81 LP; arrêt du Tribunal fédéral 5A_646/2013 du</w:t>
      </w:r>
    </w:p>
    <w:p>
      <w:r>
        <w:rPr>
          <w:b/>
        </w:rPr>
        <w:t>E. 4.2</w:t>
      </w:r>
    </w:p>
    <w:p>
      <w:r>
        <w:t>En l'espèce, le caractère exécutoire du jugement du Tribunal de Grande Instance de F______ ressort expressément de son dispositif. Peu importe, comme cela résulte des considérations qui précèdent, que le caractère exécutoire ne soit, au moment du prononcé, que provisoire.</w:t>
      </w:r>
    </w:p>
    <w:p>
      <w:r>
        <w:t>- 9/11 -</w:t>
      </w:r>
    </w:p>
    <w:p>
      <w:r>
        <w:t>C/15606/2019 La Cour d'appel de G______ a entièrement confirmé le jugement du Tribunal de Gande Instance de F______ du 30 juin 2015. Dans la mesure où les dispositions de droit français susmentionnées établissent sans équivoque que le pourvoi en cassation (demande de réinscription au rôle de la Cour de cassation) n'emporte pas effet suspensif, le caractère exécutoire de l'arrêt de la Cour d'appel ne fait pas de doute. En tout état, les demandes en réinscription formées par le recourant contre l'arrêt de la Cour d'appel ont toutes été rejetées. La première l'a d'ailleurs été au motif que le recourant n'avait pas exécuté la décision entreprise, admettant implicitement que dite décision était exécutoire. Ainsi, c'est à bon droit que le Tribunal a considéré que le jugement précité, confirmé par arrêt de la Cour d'appel de G______, était exécutoire. Le grief est infondé, de sorte que le recours sera rejeté. 5. Le recourant demande que la Cour sursoit à statuer jusqu'à droit jugé dans trois procédures connexes, dont l'issue, si elle lui était favorable, rendrait caduc le jugement du Tribunal de Grande instance de F______.</w:t>
      </w:r>
    </w:p>
    <w:p>
      <w:r>
        <w:t>5.1 Lorsque des demandes connexes sont pendantes devant des juridictions de différents Etats liés par la Convention, la juridiction saisie en second lieu peut surseoir à statuer. Sont connexes les demandes liées entre elles par un rapport si étroit qu'il y a intérêt à les instruire et à les juger en même temps afin d'éviter des solutions qui pourraient être inconciliables si les causes étaient jugées séparément (art. 28 al. 1 et 3 CL).</w:t>
      </w:r>
    </w:p>
    <w:p>
      <w:r>
        <w:t>L'autorité judiciaire d'un Etat lié par la Convention devant laquelle est invoquée la reconnaissance d'une décision rendue dans un autre Etat lié par la Convention peut surseoir à statuer si cette décision fait l'objet d'un recours ordinaire (art. 37 al. 1 CL).</w:t>
      </w:r>
    </w:p>
    <w:p>
      <w:r>
        <w:t>La juridiction saisie du recours prévu à l'art. 43 ou 44 peut, à la requête de la partie contre laquelle l'exécution est demandée, surseoir à statuer, si la décision étrangère fait, dans l'Etat d'origine, l'objet d'un recours ordinaire ou si le délai pour le former n'est pas expiré; dans ce dernier cas, la juridiction peut impartir un délai pour former ce recours (art. 46 al. 1 CL).</w:t>
      </w:r>
    </w:p>
    <w:p>
      <w:r>
        <w:t>5.2 En l'espèce, contrairement à ce que tente de soutenir le recourant, aucune des dispositions précitées ne trouve application dans la présente espèce. Certes, les procédures administratives qu'il a intentées sont toujours pendantes et concernent le même complexe de faits, sans qu'il soit nécessaire de statuer plus avant sur leur connexité avec la présente espèce. En revanche, la procédure ayant conduit au prononcé du jugement du Tribunal de Grande Instance de F______ et à l'arrêt de la Cour d'appel de G______ est terminée. Ces décisions, comme il a été</w:t>
      </w:r>
    </w:p>
    <w:p>
      <w:r>
        <w:t>- 10/11 -</w:t>
      </w:r>
    </w:p>
    <w:p>
      <w:r>
        <w:t>C/15606/2019 retenu ci-dessus, ne sont pas susceptibles d'un appel ordinaire. En l'absence de deux procédure pendantes, et d'une possibilité d'appel ordinaire, il n'y a pas de place pour une suspension ou un report de la décision à rendre. La procédure intentée le 3 octobre 2019 par le recourant devant le Tribunal de Grande Instance de F______ n'est manifestement pas une voie de droit ordinaire. Le recourant ne l'allègue d'ailleurs pas, étant relevé qu'il a pris comme conclusion dans ce cadre que l'exécution provisoire soit annulée. Cette procédure ne saurait dès lors non plus justifier une suspension de la présente procédure ou un report de la décision à rendre. Le recourant sera débouté de ses conclusions tendant à la suspension de la présente procédure ou à ce qu'il soit sursis à statuer. 6. Le recourant sollicite enfin la suspension de la procédure jusqu'à droit jugé sur sa requête "en rétablissement au rôle" de la Cour de cassation déposée le 17 mai 2019, soit au moins jusqu'au 5 avril 2020.</w:t>
      </w:r>
    </w:p>
    <w:p>
      <w:r>
        <w:t>Cette conclusion est devenue sans objet, la Cour de cassation ayant rejeté la demande du recourant du 17 mai 2019 par ordonnance du 7 novembre 2019. 7. Le recourant, qui succombe entièrement, sera condamné aux frais du recours, arrêtés à 1'000 fr., et compensés avec l'avance fournie, acquise à l'Etat de Genève (art. 106 al. 1 CPC; art. 19 LaCC; art. 26 et 35 à 37 RTFMC).</w:t>
      </w:r>
    </w:p>
    <w:p>
      <w:r>
        <w:t>Il sera également condamné à verser des dépens de 1'500 fr. à l'intimé (art. 85, 88 et 90 RTFMC et 23 al. 1 LaCC). * * * * *</w:t>
      </w:r>
    </w:p>
    <w:p>
      <w:r>
        <w:t>- 11/11 -</w:t>
      </w:r>
    </w:p>
    <w:p>
      <w:r>
        <w:t>C/15606/2019 PAR CES MOTIFS, La Chambre civile : A la forme : Déclare recevable le recours interjeté par A______ contre l'ordonnance OTPI/476/2019 rendue le 18 juillet 2019 par le Tribunal de première instance dans la cause C/15606/2019-24 SQP. Au fond : Le rejette. Déboute les parties de toutes autres conclusions. Sur les frais : Arrête les frais judiciaires du recours à 1'000 fr., les met à la charge de A______, dit qu'ils sont compensés avec l'avance fournie par ce dernier, acquise à l'Etat de Genève. Condamne A______ à verser 500 fr. à l'Etat de Genève, soit pour lui les Services financiers du Pouvoir judiciaires au titre du solde des frais. Condamne A______ à verser à B______ la somme de 1'500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janvier 2014 consid. 5.2.2). 4.1.4 En droit de procédure français, le recours par une voie extraordinaire et le délai ouvert pour l'exercer ne sont pas suspensifs d'exécution si la loi n'en dispose pas autrement. Ainsi, sauf dispositions contraires, le pourvoi en cassation en matière civile n'empêche pas l'exécution de la décision attaquée (art. 579 du Code de procédure et L.111-11 du code des procédures civiles d'exécution). Selon les art. 1009-1 et 1009-3 du nouveau code de procédure civile français, un pourvoi en cassation ne peut être inscrit que pour autant que le demandeur justifie avoir exécuté la décision 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