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ACJC/220/2015 vom 3. März 2014</w:t>
      </w:r>
    </w:p>
    <w:p>
      <w:r>
        <w:t>GE Cour de justice, 2014-03-03, FR</w:t>
      </w:r>
    </w:p>
    <w:p>
      <w:r>
        <w:rPr>
          <w:b/>
        </w:rPr>
        <w:t xml:space="preserve">Quelle: </w:t>
      </w:r>
      <w:r>
        <w:t>https://mcp.opencaselaw.ch/entscheid/ge_gerichte_ACJC_220_2015</w:t>
      </w:r>
    </w:p>
    <w:p>
      <w:r>
        <w:t>FR: GE_GERICHTE ACJC/220/2015 du 3 mars 2014</w:t>
      </w:r>
    </w:p>
    <w:p>
      <w:r>
        <w:t>IT: GE_GERICHTE ACJC/220/2015 del 3 marzo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consid.1.1; arrêts du Tribunal fédéral 4A_367/2010 du 4 octobre 2010 consid. 1.1; 4A_127/2008 du 2 juin 2008 consid. 1.1; 4A_516/2007 du 6 mars 2008 consid. 1.1).</w:t>
      </w:r>
    </w:p>
    <w:p>
      <w:r>
        <w:rPr>
          <w:b/>
        </w:rPr>
        <w:t>E. 2.2</w:t>
      </w:r>
    </w:p>
    <w:p>
      <w:r>
        <w:t>En l'espèce, compte tenu du loyer annuel, charges comprises, de 30'420 fr., la valeur litigieuse est largement supérieure à 10'000 fr., de sorte que la voie de l'ap- pel est ouverte.</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rPr>
          <w:b/>
        </w:rPr>
        <w:t>E. 3.1</w:t>
      </w:r>
    </w:p>
    <w:p>
      <w:r>
        <w:t>Selon l'art. 317 al. 1 CPC, les faits et les moyens de preuves nouveaux ne sont pris en considération en appel que s'ils sont invoqués ou produits sans retard</w:t>
      </w:r>
    </w:p>
    <w:p>
      <w:r>
        <w:t>- 6/16 -</w:t>
      </w:r>
    </w:p>
    <w:p>
      <w:r>
        <w:t>C/29713/2010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3.2</w:t>
      </w:r>
    </w:p>
    <w:p>
      <w:r>
        <w:t>En l'espèce, les pièces nouvelles produites par l’appelante sous chiffre 50 à 57 sont irrecevables, dans la mesure où celles-ci auraient pu être produites en pre- mière instance, si elle avait fait preuve de la diligence requise. En effet, le congé est daté du 19 novembre 2010 et sa contestation du 24 novembre 2010. A partir de ce moment-là au moins, on pouvait attendre de la bailleresse qu'elle entreprenne les démarches nécessaires à se procurer les exem- ples comparatifs permettant de justifier sa position, eu égard au motif du congé, à la méthode sur laquelle elle entendait (notamment) se fonder pour démontrer la validité de celui-ci et à la jurisprudence constante en la matière, en vertu de laquelle il appartient au bailleur de collaborer loyalement à l'administration des preuves en fournissant tous les éléments en sa possession, qui sont nécessaires à la vérification du motif qu'il a allégué (ATF 139 III 13 consid. 3.2 et 3.3; arrêt du Tribunal fédéral 4A_397/2013 du 11 février 2014 consid. 4.2). Dès lors, elle a eu à sa disposition près de trois ans pour produire les exemples comparatifs qu'elle savait nécessaire, laps de temps largement suffisant. On ne saurait en conséquence considérer qu'elle a fait preuve de la diligence requise en produisant de nouveaux exemples au stade de l'appel. La pièce 58, à savoir l'extrait du site Internet de l'Etat de Genève, est en revanche recevable, dans la mesure où il s'agit d'un fait notoire, à savoir qui peut être con- trôlé par la consultation de publications accessibles à chacun (ATF 135 III 88 consid. 4.1 et arrêt du Tribunal fédéral 4A_645/2011 du 27 janvier 2012 consid. 3.4.2). La pièce 0, soit le jugement entrepris est également recevable (art. 311 al. 2 CPC).</w:t>
      </w:r>
    </w:p>
    <w:p>
      <w:r>
        <w:rPr>
          <w:b/>
        </w:rPr>
        <w:t>E. 4.1</w:t>
      </w:r>
    </w:p>
    <w:p>
      <w:r>
        <w:t>Un congé motivé exclusivement par la volonté du bailleur d'obtenir d'un nouveau locataire un loyer plus élevé que le loyer payé par le locataire dont le bail est résilié ne contrevient en principe pas aux règles de la bonne foi (cf. art. 271 al. 1 CO).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 clure l'hypothèse que le bailleur puisse majorer légalement le loyer, parce que celui-ci est déjà conforme aux loyers usuels dans le quartier, respectivement parce qu'il procure déjà un rendement suffisant (ATF 136 III 74 consid. 2.1; 120 II 105 consid. 3b/bb p. 110).</w:t>
      </w:r>
    </w:p>
    <w:p>
      <w:r>
        <w:t>- 7/16 -</w:t>
      </w:r>
    </w:p>
    <w:p>
      <w:r>
        <w:t>C/29713/2010</w:t>
      </w:r>
    </w:p>
    <w:p>
      <w:r>
        <w:rPr>
          <w:b/>
        </w:rPr>
        <w:t>E. 4.2</w:t>
      </w:r>
    </w:p>
    <w:p>
      <w:r>
        <w:t>La bailleresse invoque en premier lieu comme méthode celle du calcul de ren- dement, lequel, même partiel, permettrait de démontrer qu'une majoration non abusive du loyer payé par l'intimé est justifié.</w:t>
      </w:r>
    </w:p>
    <w:p>
      <w:r>
        <w:rPr>
          <w:b/>
        </w:rPr>
        <w:t>E. 4.2.1</w:t>
      </w:r>
    </w:p>
    <w:p>
      <w:r>
        <w:t>Aux termes de l'art. 269 CO, les loyers sont abusifs lorsqu'ils permettent au bailleur d'obtenir un rendement excessif de la chose louée ou lorsqu'ils résultent d'un prix d'achat manifestement exagéré. Le rendement déterminant est, selon la jurisprudence, le rendement net des fonds propres investis par le propriétaire, soit le rapport entre les revenus nets du bail- leur, après paiement de toutes les charges, et son investissement personnel, à savoir ses fonds propres (ATF 122 III 257; 117 II 77). Ce rendement net ne saurait excéder d'un demi-pourcent le taux d'intérêt hypothécaire de référence fixé pério- diquement en application de l'art. 12a OBLF (BOHNET/MONTINI, Droit du bail à loyer, Bâle, 2010, n. 55 ad art. 269 CO). Les travaux à plus-value financés par des fonds propres sont également pris en compte dans le calcul de rendement (ATF 123 III 171; 122 III 257 in JT 1997 I 595; BOHNET/MONTINI, op. cit., n. 25 ad art. 269 CO). Le coût des travaux s'ajoute à la valeur d'origine de l'immeuble à concurrence des nouveaux fonds pro- pres, étant précisé qu'en principe, seule la plus-value réelle, à l'exclusion de la plus-value théorique découlant de l'art. 14 al. 1 OBLF est déterminante (ACJC/721/2012 du 21 mai 2012; LACHAT, Le bail à loyer, Lausanne 2008, p. 431). Quant aux charges immobilières, elles comportent les charges financières, les charges courantes (frais d'exploitation) et les charges d'entretien. Les charges financières doivent être comptabilisées à leur montant réel, c'est-à-dire en fonction du montant effectif du prêt pratiqué par le prêteur (LACHAT, op. cit., pp. 441-442), tandis que les charges courantes et les charges d'entretien, prises également à leur montant effectif, doivent correspondre à une moyenne sur une période de trois à cinq ans, en excluant les postes qui ont un caractère exceptionnel, ainsi que ceux qui ne se trouveraient que dans certains exercices et pas d'autres (SJ 1997, p. 513 ss; ACJC/42/2004 du 12 janvier 2004). Quant aux gros travaux, qui correspondent à de l'entretien différé, ils doivent être étalés sur plusieurs exercices, en fonction de la durée de vie des installations (LACHAT, op. cit., p. 444). Dans un arrêt isolé de 2004 portant sur un congé économique, le Tribunal fédéral a confirmé une décision cantonale qui se fondait notamment sur un calcul de ren- dement approximatif, pour en conclure que les propriétaires concernés étaient en mesure de louer à un tiers les locaux litigieux pour un loyer supérieur au loyer payé par la locataire en place, sans poursuivre un but illicite pour autant (arrêt du Tribunal fédéral 4C.343/2004 du 22 décembre 2004 consid. 3.2). En l'espèce, cette question peut rester ouverte, puisque, comme on le verra ci-après, le calcul de rendement ne peut pas être effectué, même partiellement.</w:t>
      </w:r>
    </w:p>
    <w:p>
      <w:r>
        <w:t>- 8/16 -</w:t>
      </w:r>
    </w:p>
    <w:p>
      <w:r>
        <w:t>C/29713/2010</w:t>
      </w:r>
    </w:p>
    <w:p>
      <w:r>
        <w:rPr>
          <w:b/>
        </w:rPr>
        <w:t>E. 4.2.2</w:t>
      </w:r>
    </w:p>
    <w:p>
      <w:r>
        <w:t>Dans un premier grief, l'appelante reproche au Tribunal de n'avoir pas pris en compte les travaux de rénovation effectués par elle entre 2004 et 2006 (voire 2008, si l'on prend en considération leur achèvement complet) à titre de travaux à plus-value, subsidiairement dans le cadre des charges d'entretien de l'immeuble. En première instance, l'appelante a produit un récapitulatif des travaux en ques- tion, dressé par sa fiduciaire, dont il ressort de manière non contestée que 6'841'511 fr. ont été investis par la bailleresse, entre 1996 et 2008, pour l'im- meuble sis a______, le total pour les immeubles c______, a______ et b______ se montant à 12'515'484 fr. Il ressort également de cette pièce que sur cette dernière somme, 9'359'239 fr. ont été payés par l'appelante pour les travaux réalisés entre 2003 et 2008 sur les immeubles précités et que seuls 1'707'167 fr. de ces 9'359'239 fr. ont été financés au moyen de fonds propres. Pour ce qui concerne les travaux réalisés entre 1996 et 2002, d'un coût de 1'066'485, l'origine des fonds n'est pas spécifiée. Enfin, les montants complémentaires permettant à la fiduciaire de parvenir à un coût global des travaux de 12'515'484 fr. résultent d'indemnités en faveur des locataires, soit vraisemblablement des réductions de loyer (qui constituent dès lors une diminution des revenus locatifs et non un financement au moyen de fonds propres) et des frais juridiques à hauteur de 421'143 fr. et 892'000 fr., lesquels ne peuvent pas être comptabilisées au titre de travaux à plus-value. On ignore enfin comment les 1'707'176 fr. de fonds propres ont été ventilés entre les différents immeubles susmentionnés. Il résulte de ce qui précède que les travaux invoqués par la bailleresse ne sauraient être pris en considération au titre de fonds propres, faute de pouvoir déterminer si ou dans quelle proportion ils ont été financés au moyen de fonds propres de l'ap- pelante (ATF 123 III 171; 122 III 257 in JT 1997 I 595; BOHNET/MONTINI, op. cit., n. 25 ad art. 269 CO). La question de savoir s'il s'agit ou non de travaux à plus-value peut dès lors rester ouverte. Quant à la possibilité de comptabiliser les travaux susmentionnés à titre de tra- vaux d'entretien, ventilés sur une période de trois à cinq ans comme le préconise la bailleresse dans son argumentation subsidiaire, elle doit être niée, dans la me- sure où les pièces produites par l'appelante ne permettent pas de déterminer quels des coûts profitaient effectivement aux locaux litigieux au titre de travaux d'entretien, plutôt qu'aux autres immeubles propriétés de l'appelante, voire exclu- sivement aux autres locaux de l'immeuble concerné. Il n'est également pas dé- montré que ces travaux n'étaient pas des travaux d’entretien du bâtiment, et des honoraires liés à des procédures contre des locataires voisins, des réductions de loyer en faveur de ceux-ci ou encore des travaux à plus-value (qui auraient pu être pris en considération au titre de fonds propres, comme on vient de le voir ci- dessus, pour autant qu'ils aient été financés au moyen de fonds propres, ce qui n'a pas été démontré). Enfin, il sera relevé que les pièces produites ne permettent pas non plus de déterminer si les travaux dont se prévaut la bailleresse ne figurent pas déjà dans la rubrique "Entretien" de ses comptes d'exploitation, sur laquelle elle se</w:t>
      </w:r>
    </w:p>
    <w:p>
      <w:r>
        <w:t>- 9/16 -</w:t>
      </w:r>
    </w:p>
    <w:p>
      <w:r>
        <w:t>C/29713/2010 fonde pour établir ses charges courantes et charges d'entretien, de sorte qu'ils n'auraient de toute manière pas pu être admis. Le premier grief de l'appelante est ainsi infondé.</w:t>
      </w:r>
    </w:p>
    <w:p>
      <w:r>
        <w:rPr>
          <w:b/>
        </w:rPr>
        <w:t>E. 4.2.3</w:t>
      </w:r>
    </w:p>
    <w:p>
      <w:r>
        <w:t>Dans un deuxième grief, la bailleresse reproche au Tribunal de ne pas avoir procédé au calcul des charges courantes et charges d'entretien, après qu'il ait ex- purgé des décomptes produits les postes qu'il estimait ne pas devoir prendre en considération. En reprenant ainsi les postes non écartés par le Tribunal dans le jugement que- rellé, elle allègue des montants de charges courantes et de charges d'entretien pour les années 2006 à 2010, dont elle établit une moyenne à 539'446 fr. Pour sa part, l'intimé ne se prononce pas sur cette question, admettant ainsi impli- citement le tri opéré par le Tribunal. La Cour considère dès lors que les parties s'entendent sur les postes qui peuvent être retenus au titre de charges courantes et charges d'entretien, soit tous les postes que le Tribunal n'a pas écartés. C'est en revanche à tort que l'appelante prend en considération, dans sa moyenne, l'année 2010, laquelle n'était pas encore terminée à la date de la notification du congé litigieux. Pour les années 2009 à 2004, sur la base des pièces produites, les charges cou- rantes et charges d'entretien admises par les parties (et le Tribunal), sont les sui- vantes : Année 2009 2008 2007 2006 2005 2004 Total 492 822.79 514 307.51 483 413.92 663 993.07 418 219.97 409 005.45 Electricité, eau, gaz 92 591.00 86 672.00 84 336.40 83 944.35 78 828.80 89 499.50 Entretien 86 165.05 108 543.65 74 167.42 250 554.60 108 439.87 154 823.23 Charges tvx suite sin. 0.00 2 471.20</w:t>
      </w:r>
    </w:p>
    <w:p>
      <w:r>
        <w:rPr>
          <w:b/>
        </w:rPr>
        <w:t>E. 4.2.4</w:t>
      </w:r>
    </w:p>
    <w:p>
      <w:r>
        <w:t>Dans un troisième grief, l'appelante reproche au Tribunal de ne pas avoir admis les charges financières alléguées, celles-ci résultant de son point de vue des pièces qu'elle a produites. A ce titre, elle a indiqué dans sa requête initiale au Tribunal du 2 mai 2012, pièces à l'appui, des frais financiers à hauteur de 1'006'012 fr. 10 pour les trois im- meubles sis c______, a______ et b______, précisant que l'immeuble litigieux représente 62% du tout, de sorte qu'un montant de 623'791 fr. doit être pris en considération. Il sera relevé à ce propos que le pourcentage susmentionné est imprécis, puisque l'immeuble en question représente 5'940.63 m2, sur un total de 9'619.83 m2 pour les trois immeubles, soit un ratio de 61.754%. Appliqué aux frais financiers to- taux, cela représente un montant de 621'252 fr. 71. Dans ses conclusions motivées du 15 novembre 2013, l'appelante a ensuite allégué un montant de frais financiers plus élevé pour l'immeuble litigieux (709'110 fr.), sans pour autant que cela ressorte de la pièce à laquelle elle s’est référée, faute d'avoir indiqué la clé de répartition entre les trois immeubles. Dans cette mesure, le Tribunal aurait dû retenir le premier montant allégué par l'appelante dans son écriture du 2 mai 2012, sous réserve de l'approximation de calcul susmentionnée.</w:t>
      </w:r>
    </w:p>
    <w:p>
      <w:r>
        <w:rPr>
          <w:b/>
        </w:rPr>
        <w:t>E. 4.2.5</w:t>
      </w:r>
    </w:p>
    <w:p>
      <w:r>
        <w:t>Dans un quatrième grief, l'appelante soutient que l'état locatif produit par elle pour l'année 2012 était suffisant pour effectuer le calcul de rendement partiel, quand bien même le congé a été notifié en 2010.</w:t>
      </w:r>
    </w:p>
    <w:p>
      <w:r>
        <w:t>- 11/16 -</w:t>
      </w:r>
    </w:p>
    <w:p>
      <w:r>
        <w:t>C/29713/2010 Elle ne saurait être suivie. L'état locatif pertinent pour la réalisation d'un calcul de rendement est le dernier état locatif connu au moment où le calcul devrait être ef- fectué - soit en l'occurrence à la date de la notification du congé, puisque ce sont les motifs du congé au jour de sa notification qui sont pertinents (ATF 138 III 59 consid. 2.1) -, afin de savoir comment le rendement admissible de l'immeuble doit être répercuté sur le local litigieux, ce qui dépendra notamment de l'homogénéité des loyers. S'il s'avère que les loyers ne sont pas homogènes, comme c'était mani- festement le cas en 2012, alors l'état locatif n'est utile, comme l'explique la bail- leresse, que pour déterminer les surfaces respectives des appartements et locaux et déterminer ainsi une clé de répartition (cf. notamment BOHNET/MONTINI, op. cit., n. 11-15 ad art. 269 CO ou LACHAT, op. cit., p. 448). Dès lors, l'état locatif produit pour l'année 2012 est insuffisant, puisqu'il ne permet pas de s'assurer de l'homogénéité des loyers au moment de la notification du congé.</w:t>
      </w:r>
    </w:p>
    <w:p>
      <w:r>
        <w:rPr>
          <w:b/>
        </w:rPr>
        <w:t>E. 4.2.6</w:t>
      </w:r>
    </w:p>
    <w:p>
      <w:r>
        <w:t>Au vu de ce qui précède, la Cour retient que c'est à bon droit que le Tribunal a considéré que la bailleresse avait échoué à apporter la preuve qu'il lui était pos- sible d'augmenter de manière non abusive le loyer de son locataire, sur la base d'un calcul de rendement, même partiel, faute pour elle d'avoir produit les pièces suffisantes à la réalisation de ce calcul, malgré l'octroi d'un second délai pour ce faire. La Cour relève au surplus que l'audition du comptable de l'appelante, sollicitée par celle-ci devant les premiers juges, n'aurait pas été suffisante pour remédier à la ca- rence de pièces probantes, puisque celle-ci visait uniquement à ce qu'il apporte des précisions relativement à certaines pièces produites.</w:t>
      </w:r>
    </w:p>
    <w:p>
      <w:r>
        <w:rPr>
          <w:b/>
        </w:rPr>
        <w:t>E. 4.2.7</w:t>
      </w:r>
    </w:p>
    <w:p>
      <w:r>
        <w:t>Par surabondance de motifs, même à admettre que l'état locatif produit soit suffisant à démontrer l'homogénéité des loyers, le calcul de rendement partiel don- nerait le résultat suivant :</w:t>
      </w:r>
    </w:p>
    <w:p>
      <w:r>
        <w:t>Charges courantes et charges d'entretien : 471'518 fr. 20 (cf. 4.2.3 ci-dessus)</w:t>
      </w:r>
    </w:p>
    <w:p>
      <w:r>
        <w:t>Charges financières : 621'252 fr. 71 (cf. 4.2.4 ci-dessus)</w:t>
      </w:r>
    </w:p>
    <w:p>
      <w:r>
        <w:t>Impôt immobilier complémentaire : 99'394 fr. 55 (cf. pièce 45 appelante)</w:t>
      </w:r>
    </w:p>
    <w:p>
      <w:r>
        <w:t>Etat locatif annuel admissible (calcul partiel) : 1'192'165 fr. 46 (= 471'518 fr. 20 + 621'252 fr. 71 + 99'394 fr. 55)</w:t>
      </w:r>
    </w:p>
    <w:p>
      <w:r>
        <w:t>Surface de l’immeuble litigieux : 5'940.63 m2 (cf. 4.2.4 ci-dessus)</w:t>
      </w:r>
    </w:p>
    <w:p>
      <w:r>
        <w:t>Loyer annuel partiel admissible par m2 : 200 fr. 68 (= 1'192'165 fr. 46 / 5'940.63)</w:t>
      </w:r>
    </w:p>
    <w:p>
      <w:r>
        <w:t>Loyer annuel partiel admissible pour le local litigieux (de 140 m2; cf. pièce 2 et mémoire d'appel, p. 12) : 28'095 fr. 20 Dans la mesure où le loyer annuel actuel de l’intimé est de 28'020 fr., la hausse de loyer serait à ce point insignifiante qu’un congé économique consacrerait indénia-</w:t>
      </w:r>
    </w:p>
    <w:p>
      <w:r>
        <w:t>- 12/16 -</w:t>
      </w:r>
    </w:p>
    <w:p>
      <w:r>
        <w:t>C/29713/2010 blement une disproportion manifeste des intérêts en présence, de sorte que le con- gé serait contraire aux règles de la bonne foi (art. 271 al. 1 CO). Il n'est en effet pas soutenable de congédier un locataire pour relouer l'objet à un tiers, pour un loyer si proche du loyer actuel, de sorte qu'on ne peut douter du fait que le locataire en place serait capable d'en assumer la différence. Le cas est ainsi à distinguer de celui où une hausse massive du loyer est envisageable, hausse que le locataire en place ne pourrait peut-être pas assumer. Dans son arrêt de principe sur l'admissibilité des congés économiques (ATF 120 II 105 consid. 3b/bb p. 110), le Tribunal fédéral relève d’ailleurs expressément que le principe de la bonne foi fait office de soupape de sûreté et peut justifier exceptionnellement, suivant les circonstances, l'annulation d'un congé donné par le bailleur afin d'obtenir un ren- dement plus élevé, mais non abusif, de l'objet loué, notamment lorsque, par exem- ple, le bailleur qui ne dispose que d'une réserve de hausse insignifiante n'en fait pas moins usage afin de se débarrasser commodément, par ce biais-là, d'un loca- taire qui ne lui conviendrait plus.</w:t>
      </w:r>
    </w:p>
    <w:p>
      <w:r>
        <w:rPr>
          <w:b/>
        </w:rPr>
        <w:t>E. 4.3</w:t>
      </w:r>
    </w:p>
    <w:p>
      <w:r>
        <w:t>L'appelante invoque en second lieu comme méthode celle des loyers compa- ratifs, dans le but de démontrer qu'une majoration non abusive du loyer payé par l'intimé est envisageable. Les nouveaux exemples produits par la bailleresse en appel étant irrecevables, la Cour se limitera à examiner les griefs invoqués dans le mémoire d'appel, relati- vement aux exemples déjà soumis aux premiers juges.</w:t>
      </w:r>
    </w:p>
    <w:p>
      <w:r>
        <w:rPr>
          <w:b/>
        </w:rPr>
        <w:t>E. 4.3.1</w:t>
      </w:r>
    </w:p>
    <w:p>
      <w:r>
        <w:t>Aux termes de l'art. 269a let.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2). Le juge doit procéder à des comparaisons concrètes, à la lumière des critères sus- 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(arrêts du Tribunal fédéral 4A_295/2010 du 26 juillet 2010 consid. 3.1; 4A_448/2009 du 1er février 2010 consid. 2.3 et 4A_412/2009 du 15 décembre 2009 consid. 4). Sont concrètement pris en considération (ATF 123 III 317 consid. 4b) notamment l'équipement et l'état d'entretien d'éléments tels que la toiture et la ferblanterie,</w:t>
      </w:r>
    </w:p>
    <w:p>
      <w:r>
        <w:t>- 13/16 -</w:t>
      </w:r>
    </w:p>
    <w:p>
      <w:r>
        <w:t>C/29713/2010 l'ascenseur, la chaudière, la buanderie, l'installation électrique, les vitrages, les cuisines et les sanitaires (consid. 4b/bb), le nombre de pièces des logements, voire leur dimension et la répartition des volumes (consid. 4b/cc), le quartier étant, lui, défini non par la seule proximité géographique, mais selon des facteurs tels les infrastructures et installations scolaires et sportives disponibles, la présence de commerces, les facilités de transport, ainsi que l'existence ou l'absence de nui- sances telles le bruit extérieur et intérieur ou les odeurs (consid. 4b/dd; exposition au bruit; absence de parking; LACHAT, op. cit., p. 458). En ce qui concerne l'année de construction de l'immeuble abritant les locaux, dont parle l'art. 11 al.1 OBLF, la jurisprudence a admis qu'une différence de plus de vingt ans ne permet en tout cas pas de ranger deux bâtiments dans la même pé- riode de construction (ATF 123 III 317 consid. 4a/aa; 135 III 345; arrêts du Tribunal fédéral 4A_448/2009 du 1er février 2010 consid. 2.3; 4C.40/2001 du</w:t>
      </w:r>
    </w:p>
    <w:p>
      <w:r>
        <w:rPr>
          <w:b/>
        </w:rPr>
        <w:t>E. 4.3.2</w:t>
      </w:r>
    </w:p>
    <w:p>
      <w:r>
        <w:t>Dans son appel, la bailleresse reproche aux premiers juges d’avoir appliqué avec une trop grande rigueur les exigences jurisprudentielles en matière de hausse de loyers, alors même que dans un arrêt du 22 décembre 2004 (arrêt du Tribunal fédéral 4C.343/2004 consid. 3.2), notre Haute Cour avait admis le fait qu'une dif- férence flagrante entre les exemples comparatifs et le loyer litigieux autorisait à prendre en considération des exemples qui ne répondent pas tous strictement aux exigences de comparaison posées par la jurisprudence en matière de hausse de loyer. Il faut relever en premier lieu que dans le cas tranché par le Tribunal fédéral, la locataire n'avait pas contesté la possibilité pour le bailleur de majorer le loyer sur la base des loyers du quartier, mais fondait son argumentaire sur le fait que sa par- tie adverse avait allégué un loyer cible pour la relocation, lequel était abusif. En deuxième lieu, l'arrêt en question ne permet pas de discerner en quoi les exem- ples comparatifs retenus ne correspondaient pas strictement aux exigences de comparaison posées par la jurisprudence en matière de hausse de loyer. Enfin, en troisième lieu, cette jurisprudence, non publiée, n'a jamais été confirmée par le Tribunal fédéral, qui a au contraire continué d'appliquer les mêmes critères de comparaison en matière de congé économique, qu'en matière de hausse de loyer (cf. notamment arrêts du Tribunal fédéral 4A_612/2012 du 19 février 2012 consid. 2.2 ss et 4A_472/2007 du 11 mars 2008 consid. 2 ss). Il résulte de ce qui précède que l'examen des exemples comparatifs produits ne saurait être moins strict que celui effectué dans le cadre d'une procédure portant sur une hausse de loyer. Une telle interprétation ne trouverait d’ailleurs guère de justification, au regard du caractère plus grave du congé, comparé à une majo- ration de loyer.</w:t>
      </w:r>
    </w:p>
    <w:p>
      <w:r>
        <w:rPr>
          <w:b/>
        </w:rPr>
        <w:t>E. 4.3.3</w:t>
      </w:r>
    </w:p>
    <w:p>
      <w:r>
        <w:t>Au surplus, la bailleresse ne conteste pas, dans son acte d'appel, que seuls sept des exemples qu'elle a produit se situent dans des immeubles qui ont été construits moins de vingt ans avant ou après l'immeuble litigieux (en l'occurrence ceux produits par elle sous pièces 20, 21, 22, 23, 24 et 25, étant précisé que la</w:t>
      </w:r>
    </w:p>
    <w:p>
      <w:r>
        <w:t>- 15/16 -</w:t>
      </w:r>
    </w:p>
    <w:p>
      <w:r>
        <w:t>C/29713/2010 pièce 23 comporte deux exemples). Au vu de la jurisprudence précitée, c'est dès lors à bon droit que les premiers juges ont écarté les autres exemples produits. Des sept exemples subsistant, trois d'entre eux ont des surfaces très éloignées de celle des locaux litigieux (ceux produits par la bailleresse sous pièces 22 et 23). A ce stade, ne demeurent dès lors que quatre exemples comparatifs, lesquels n'ap- partiennent en outre qu’à deux propriétaires différents, de sorte que seuls deux exemples comparatifs subsistent, soit largement moins que les cinq exemples exi- gés par la jurisprudence fédérale précitée. C'est ainsi à bon droit que les premiers juges ont retenu que la bailleresse avait failli à démontrer que les loyers du quartier lui permettaient de majorer le loyer de l'intimé de manière non abusive.</w:t>
      </w:r>
    </w:p>
    <w:p>
      <w:r>
        <w:rPr>
          <w:b/>
        </w:rPr>
        <w:t>E. 4.4</w:t>
      </w:r>
    </w:p>
    <w:p>
      <w:r>
        <w:t>Il découle de ce qui précède que le jugement du Tribunal doit être intégra- lement confirmé. 5.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- 16/16 -</w:t>
      </w:r>
    </w:p>
    <w:p>
      <w:r>
        <w:t>C/29713/2010 PAR CES MOTIFS, La Chambre des baux et loyers : A la forme : Déclare recevable l'appel interjeté le 4 avril 2014 par A______ contre le jugement JTBL/207/2014 rendu le 3 mars 2014 par le Tribunal des baux et loyers dans la cause C/29713/2010-2-B.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r>
        <w:rPr>
          <w:b/>
        </w:rPr>
        <w:t>E. 9</w:t>
      </w:r>
    </w:p>
    <w:p>
      <w:r>
        <w:t>475.80 0.00 0.00 Conciergerie 85 469.35 84 909.32 81 266.74 86 574.83 74 827.69 71 174.73 Gérance 92 758.70 89 895.45 77 104.75 96 771.50 51 597.20 50 804.40 Gérance tvx 5 239.30</w:t>
      </w:r>
    </w:p>
    <w:p>
      <w:r>
        <w:rPr>
          <w:b/>
        </w:rPr>
        <w:t>E. 14</w:t>
      </w:r>
    </w:p>
    <w:p>
      <w:r>
        <w:t>133.60 30 850.85 11 063.95 0.00 0.00 Assurances 34 850.90 33 778.40 32 727.90 30 886.80 26 029.98 25 911.80 Honoraires fid. 11 172.49 9 327.89 8 470.36 10 145.24 11 364.86 7 059.42 Charges gest., admin. 84 576.00 84 576.00 84 576.00 84 576.00 67 131.57 9 732.37 S'agissant des frais d'entretien, il est constaté que ceux des années 2004 à 2006, à savoir pendant la période des gros travaux examinée précédemment, sont notable- ment plus élevés que ceux des trois dernières années (2009 à 2007), de sorte qu'il se justifie de ne faire une moyenne que sur trois ans, ce d'autant plus que les frais d'entretien de 2004 à 2006 ne sauraient être pris en considération sans autre exa- men, notamment s'agissant d'une éventuelle répartition de ceux-ci sur plusieurs exercices, en fonction de la durée de vie des installations concernées. La Cour retiendra également une moyenne sur une période plus courte, soit de 2006 à 2009, pour les charges de gestion et administration, que celles-ci n'ont pas</w:t>
      </w:r>
    </w:p>
    <w:p>
      <w:r>
        <w:t>- 10/16 -</w:t>
      </w:r>
    </w:p>
    <w:p>
      <w:r>
        <w:t>C/29713/2010 évolué les quatre années en question et étaient notablement plus basses en 2004 et 2005. Au surplus, il apparaît équitable (art. 4 CC) d'établir la moyenne des autres postes sur les années 2004 à 2009. Il en résulte les moyennes suivantes : Année Moyenne Total 471 518.20 Electricité, eau, gaz 85 978.68 Entretien 89 625.37 Charges tvx suite sin. 3 643.42 Conciergerie 80 703.78 Gérance 76 488.67 Gérance tvx 10 214.62 Assurances 30 697.63 Honoraires fid. 9 590.04 Charges gest., admin. 84 576.00 Dès lors, ce sont des charges courantes et charges d'entretien d'un montant annuel de 471'518 fr. 20 qu'il convient de retenir dans le cadre du calcul de rendement.</w:t>
      </w:r>
    </w:p>
    <w:p>
      <w:r>
        <w:rPr>
          <w:b/>
        </w:rPr>
        <w:t>E. 15</w:t>
      </w:r>
    </w:p>
    <w:p>
      <w:r>
        <w:t>juin 2001 consid. 5c/bb). Pour ce qui concerne la surface des locaux considérés, une différence sensible de surface de plus de 17% ne saurait servir de base à la fixation d'un loyer usuel (ACJC/318/1998 du 20 avril 1998). En outre, la Cour de céans a retenu que les fiches comparatives lacunaires et insuffisamment détaillées ne pouvaient servir de base à la fixation d'un loyer usuel; tel sera le cas de l'exemple comparatif qui ne mentionne pas l'identité du propriétaire ou qui ne permet pas d'apprécier l'évolu- tion du loyer considéré selon les variations du taux hypothécaire (ACJC/318/1998 du 20 avril 1998). 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 preneur (LACHAT, op. cit., p. 460 et références citées). Les loyers des appartements ou locaux commerciaux situés dans le même im- meuble que l'objet en cause ne sauraient être pris en considération, pas plus que d'autres objets propriété du même bailleur (LACHAT, op. cit., p. 460 et références citées). Le Tribunal fédéral ne compte que pour un seul les logements de compa- raison qui dépendent d'un seul bailleur (ATF 123 III 317 consid. 4c/aa). Les loyers de référence ne doivent eux-mêmes pas être abusifs, ce qui implique, si nécessaire, de les adapter en principe aux baisses du taux hypothécaire inter- venues depuis le moment où ils ont été fixés (ATF 136 III 74; 127 III 411 consid. 5a; arrêt du Tribunal fédéral 4A_295/2010 du 26 juillet 2010 consid. 3.1). C'est à la partie qui se prévaut des loyers comparatifs qu'il incombe de fournir des exemples en nombre suffisant, et pour chacun d'eux, des données détaillées quant à l'emplacement, la dimension, l'équipement, l'état d'entretien et l'époque de cons- truction (LACHAT, op. cit., p. 462 et références citées).</w:t>
      </w:r>
    </w:p>
    <w:p>
      <w:r>
        <w:t>- 14/16 -</w:t>
      </w:r>
    </w:p>
    <w:p>
      <w:r>
        <w:t>C/29713/2010 L'utilisation de statistiques suppose des données chiffrées, suffisamment diffé- renciées et dûment établies sur la situation, l'agencement et l'état de la chose louée, comme sur la période de construction (ATF 123 III 317 consid. cc). Le Tribunal fédéral et la Cour de justice ont eu l'occasion de juger à plusieurs reprises que les statistiques cantonales genevoises ne constituaient pas des statisti- ques au sens de l'art. 11 al. 4 OBLF, faute de données suffisamment différenciées sur les éléments essentiels nécessaires à des comparaisons concluantes, à savoir l'emplacement, la dimension, l'équipement, l'état et l'année de construction (arrêt du Tribunal fédéral 4A_612/2012 du 19 février 2013 consid. 3.2; ACJC/660/2013 du 27 mai 2013 consid. 4.6; ACJC/1148/20101 du 19 septembre 2011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