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ACJC/21/2015 vom 1. April 2014</w:t>
      </w:r>
    </w:p>
    <w:p>
      <w:r>
        <w:t>GE Cour de justice, 2014-04-01, FR</w:t>
      </w:r>
    </w:p>
    <w:p>
      <w:r>
        <w:rPr>
          <w:b/>
        </w:rPr>
        <w:t xml:space="preserve">Quelle: </w:t>
      </w:r>
      <w:r>
        <w:t>https://mcp.opencaselaw.ch/entscheid/ge_gerichte_ACJC_21_2015</w:t>
      </w:r>
    </w:p>
    <w:p>
      <w:r>
        <w:t>FR: GE_GERICHTE ACJC/21/2015 du 1 avril 2014</w:t>
      </w:r>
    </w:p>
    <w:p>
      <w:r>
        <w:t>IT: GE_GERICHTE ACJC/21/2015 del 1 aprile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w:t>
      </w:r>
    </w:p>
    <w:p>
      <w:r>
        <w:t>- 5/7 -</w:t>
      </w:r>
    </w:p>
    <w:p>
      <w:r>
        <w:t>C/1621/2013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En l'espèce, la présente procédure a trait exclusivement à une demande d'éva- cuation pour fin de bail. La valeur litigieuse correspond dès lors à la somme des loyers entre le moment du dépôt de l'appel et le moment où le déguerpissement de l'appelante pourra vraisemblablement être exécuté par la force publique, soit 28'000 fr. (sous-loyer mensuel de 2'000 fr. x 14 mois). La période de quatorze mois correspond à l'estimation suivante : quatre mois de procédure devant la Cour de justice, trente jours pour recourir au Tribunal fédéral, quatre mois de procédure devant le Tribunal fédéral et cinq mois pour la procédure d'exécution forcée. La voie de l'appel est ainsi ouverte.</w:t>
      </w:r>
    </w:p>
    <w:p>
      <w:r>
        <w:rPr>
          <w:b/>
        </w:rPr>
        <w:t>E. 1.2</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produite par l'appelante, de même que la pre- mière pièce produite par l'intimé (pièce no 29) ne répondent pas à ces conditions, de sorte qu'elles sont irrecevables. Les autres pièces nouvelles de l'intimé sont en revanche recevables.</w:t>
      </w:r>
    </w:p>
    <w:p>
      <w:r>
        <w:t>- 6/7 -</w:t>
      </w:r>
    </w:p>
    <w:p>
      <w:r>
        <w:t>C/1621/2013</w:t>
      </w:r>
    </w:p>
    <w:p>
      <w:r>
        <w:rPr>
          <w:b/>
        </w:rPr>
        <w:t>E. 3.1</w:t>
      </w:r>
    </w:p>
    <w:p>
      <w:r>
        <w:t>L'appelante invoque l'absence d'intérêt digne de protection de l'intimé à agir en évacuation à son encontre, dans la mesure où, depuis le 1er juin 2013, il n'est plus titulaire du bail principal. Elle fait dès lors grief au Tribunal d'avoir violé l'art. 59 al. 2 let. a CPC, lequel exige notamment un intérêt digne de protection du requérant, pour que le tribunal entre en matière. L'appelante ne saurait cependant être suivie. En effet, si le bail principal de l'intimé a pris fin, il n'en demeure pas moins qu'il n'a pas été libéré par la propriétaire de ses obligations contractuelles, faute pour lui d'avoir restitué l'appartement. Par ailleurs, le bail de sous-location n'est pas identique au bail principal, en ce sens qu'il porte sur un objet sensiblement dif- férent (appartement meublé), dont le loyer est supérieur. Enfin, tant que l'appe- lante demeure dans les locaux, le locataire principal assume le risque d'un non- paiement du loyer à l'égard de la propriétaire. Il découle de ce qui précède que l'intimé a bel et bien un intérêt digne de pro- tection à agir en évacuation contre sa sous-locataire.</w:t>
      </w:r>
    </w:p>
    <w:p>
      <w:r>
        <w:rPr>
          <w:b/>
        </w:rPr>
        <w:t>E. 3.2</w:t>
      </w:r>
    </w:p>
    <w:p>
      <w:r>
        <w:t>L'appelante invoque dans un second moyen le défaut de légitimation active de l'intimé pour agir en évacuation à son encontre. Elle soutient à cet égard que l'in- timé n'est plus sous-bailleur, puisque le bail principal a pris fin. Elle se trompe. La fin du bail principal n'affecte pas directement le rapport de sous-location (LACHAT, Le bail à loyer, 2008, p. 578; BOHNET/MONTINI, Droit du bail à loyer, Bâle, 2010, n. 5 ad art. 262 CO; ATF 139 III 353 consid. 2.1.2). Le contrat de sous-location qui liait les parties était un contrat de bail au sens des art. 253ss CO, de sorte qu'une fois arrivé à son terme, l'intimé est légitimé à agir en évacuation à l'encontre de sa sous-locataire, conformément à l'art. 267 al. 1 CO, faute pour celle-ci d'avoir restitué le bien. C'est dès lors à bon droit que le Tribunal a ordonné l'évacuation de l'appelante et transmis la cause à la 7ème chambre du Tribunal, siégeant dans la composition prévue à l'art. 30 LaCC, pour qu'elle statue sur les mesures d'exécution sollicitées.</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- 7/7 -</w:t>
      </w:r>
    </w:p>
    <w:p>
      <w:r>
        <w:t>C/1621/2013 PAR CES MOTIFS, La Chambre des baux et loyers : A la forme : Déclare recevable l'appel interjeté le 26 mai 2014 par A______ contre le jugement JTBL/391/2014 rendu le 1er avril 2014 par le Tribunal des baux et loyers dans la cause C/1621/2013-5-OSL.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