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ACJC/219/2024 vom 20. Februar 2024</w:t>
      </w:r>
    </w:p>
    <w:p>
      <w:r>
        <w:t>GE Cour de justice, 2024-02-20, FR</w:t>
      </w:r>
    </w:p>
    <w:p>
      <w:r>
        <w:rPr>
          <w:b/>
        </w:rPr>
        <w:t xml:space="preserve">Quelle: </w:t>
      </w:r>
      <w:r>
        <w:t>https://mcp.opencaselaw.ch/entscheid/ge_gerichte_ACJC_219_2024</w:t>
      </w:r>
    </w:p>
    <w:p>
      <w:r>
        <w:t>FR: GE_GERICHTE ACJC/219/2024 du 20 février 2024</w:t>
      </w:r>
    </w:p>
    <w:p>
      <w:r>
        <w:t>IT: GE_GERICHTE ACJC/219/2024 del 20 febbraio 2024</w:t>
      </w:r>
    </w:p>
    <w:p>
      <w:pPr>
        <w:pStyle w:val="Heading2"/>
      </w:pPr>
      <w:r>
        <w:t>Volltext</w:t>
      </w:r>
    </w:p>
    <w:p>
      <w:r>
        <w:t>Le présent arrêt est communiqué aux parties par plis recommandés du 20 février 2024.</w:t>
      </w:r>
    </w:p>
    <w:p>
      <w:r>
        <w:t>REPUBLIQUE ET</w:t>
      </w:r>
    </w:p>
    <w:p>
      <w:r>
        <w:t>CANTON DE GENEVE POUVOIR JUDICIAIRE C/3941/2022 ACJC/219/2024 ARRÊT DE LA COUR DE JUSTICE Chambre civile DU VENDREDI 16 FEVRIER 2024 Entre 1) A______, sise ______ [GE], 2) A______ (EUROPE), sise ______ Luxembourg, succursale de Luxembourg de A______ (Europe), sise ______, Allemagne, 3) A______ LTD, sise ______, Bahamas, 4) A______ (ASIA) LTD, sise ______, Singapour, recourantes contre une ordonnance rendue par la 6ème Chambre du Tribunal de première instance de ce canton le 25 janvier 2024, représentées par Me Shelby DU PASQUIER et Me Daniel TUNIK, avocats, Lenz &amp; Staehelin, route de Chêne 30, 1211 Genève 6, et B______, sise ______, C______ [État], intimée, représentée par Me Philippe NEYROUD et Me Stephan FRATINI, avocats, AUBERT NEYROUD, STÜCKELBERG &amp; FRATINI, rue François-Versonnex 7, 1207 Genève, et Monsieur D______, domicilié ______ [BE], intimé, représenté par Me Jean-François DUCREST, avocat, Ducrest Heggli Avocats LLC, rue Kitty-Ponse 4, case postale 3247, 1211 Genève 3,</w:t>
      </w:r>
    </w:p>
    <w:p>
      <w:r>
        <w:t>C/3941/2022 - 2 - et Monsieur E______, domicilié ______ [GE], intimé, représenté par Me Guerric CANONICA et Me Jean-Marc CARNICE, avocats, Canonica Valticos &amp; Associés SA, rue Pierre Fatio 15, case postale, 1211 Genève 3.</w:t>
      </w:r>
    </w:p>
    <w:p>
      <w:r>
        <w:t>- 3/6 -</w:t>
      </w:r>
    </w:p>
    <w:p>
      <w:r>
        <w:t>C/3941/2022 Vu, EN FAIT, la demande en paiement formée le 24 février 2023 devant le Tribunal de première instance (ci-après : le Tribunal) par B______ [institution étatique de sécurité sociale] à l'encontre de A______ (EUROPE) (désormais A______ (EUROPE)), A______ LTD, A______ (ASIA) LTD (ci-après : les banques A______), D______ et E______, portant sur la somme de 368'064'110 fr. plus intérêts; Vu les requêtes de sûretés formées par D______ pour un montant de 2'309'631 fr. 61, E______ pour 2'510'000 fr. et les banques A______ pour 2'777'347 fr. 43; Attendu que par ordonnance OTPI/73/2024 du 25 janvier 2024, le Tribunal, statuant sur requête (sic) de sûretés en garantie des dépens, a condamné B______ à fournir, soit en espèces, soit sous forme de garantie d’une banque établie en Suisse ou d’une société d’assurance autorisée à exercer en Suisse, des sûretés en garantie des dépens d’un montant de 2'400'000 fr. (chiffre 2 du dispositif), fixé à B______ un délai de trente jours, à compter de la notification de la décision, pour déposer lesdites sûretés, soit en espèces auprès des Services financiers du Pouvoir judiciaire, soit sous forme de garantie auprès de la chambre du Tribunal (ch. 3), réservé la suite de la procédure à l’issue de ce délai (ch. 4) et dit qu’à défaut du paiement des sûretés dans le délai prescrit, la demande sera déclarée irrecevable (ch. 5); que le Tribunal a également arrêté et réparti les frais judiciaires (ch. 6), n’a pas alloué de dépens (ch. 7) et a débouté les parties de toutes autres conclusions (ch. 8);</w:t>
      </w:r>
    </w:p>
    <w:p>
      <w:r>
        <w:t>Que le 8 février 2024, les banques A______ ont formé recours contre cette ordonnance, concluant à l’annulation des chiffres 2 à 8 de son dispositif et cela fait, à ce que B______ soit condamnée à fournir des sûretés en garantie de leurs propres dépens d’un montant de 2'787'662 fr. 56;</w:t>
      </w:r>
    </w:p>
    <w:p>
      <w:r>
        <w:t>Qu’en substance, les banques A______ ont notamment fait grief au Tribunal d’avoir fait fi de la pluralité des défendeurs défendus par des conseils différents, ainsi que des requêtes distinctes déposées;</w:t>
      </w:r>
    </w:p>
    <w:p>
      <w:r>
        <w:t>Que préalablement, les banques A______ ont conclu à la suspension du caractère exécutoire de l’ordonnance attaquée;</w:t>
      </w:r>
    </w:p>
    <w:p>
      <w:r>
        <w:t>Que sur ce point, elles ont soutenu qu’à défaut d’effet suspensif et si le montant litigieux des sûretés était payé, la procédure de première instance serait reprise, de sorte qu’elles se verraient impartir un délai pour répondre à la demande de B______, les obligeant à déployer une activité considérable, qui ne serait potentiellement pas couverte par les sûretés versées;</w:t>
      </w:r>
    </w:p>
    <w:p>
      <w:r>
        <w:t>- 4/6 -</w:t>
      </w:r>
    </w:p>
    <w:p>
      <w:r>
        <w:t>C/3941/2022</w:t>
      </w:r>
    </w:p>
    <w:p>
      <w:r>
        <w:t>Que D______ et E______ ont appuyé les conclusions prises par les banques A______ s’agissant de la restitution de l’effet suspensif;</w:t>
      </w:r>
    </w:p>
    <w:p>
      <w:r>
        <w:t>Que B______ s’en est rapportée à justice quant à l’octroi de l’effet suspensif sollicité; Considérant, EN DROIT, que la Cour est saisie d’un recours au sens de l’art. 319 ss CPC ; Que le recours ne suspend pas la force de chose jugée et le caractère exécutoire de la décision attaquée (art. 325 al. 1 CPC); Que l'instance de recours peut toutefois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consid. 2, JdT 1993 I 316; ATF 79 II 295 consid.3, JdT 1954 I 528; arrêt du Tribunal fédéral 4A_188/2007 du 13 septembre 2007 consid. 1.4). Qu'en l'espèce, le recourant a conclu au versement de sûretés destinées à couvrir les dépens en sa faveur auxquels B______ pourrait être condamnée pour la procédure de première instance; Que conformément à la jurisprudence du Tribunal fédéral rappelée ci-dessus, une fois exposés tous les frais susceptibles de justifier des dépens, une partie n’a plus d’intérêt à obtenir le versement de sûretés; Qu’il découle de ce qui précède que si la procédure de première instance devait se poursuivre avant que la Cour n’ait tranché la question du montant des sûretés, il pourrait être considéré que les recourantes n’auraient plus d’intérêt à obtenir un</w:t>
      </w:r>
    </w:p>
    <w:p>
      <w:r>
        <w:t>- 5/6 -</w:t>
      </w:r>
    </w:p>
    <w:p>
      <w:r>
        <w:t>C/3941/2022 montant supérieur à celui initialement fixé par le Tribunal et versé par la partie demanderesse; Qu’il se justifie par conséquent de faire droit aux conclusions des recourantes, auxquelles B______ ne s’est pas opposée; Qu'il sera statué sur les frais de la présente décision dans le cadre de l'arrêt au fond (art. 104 al. 3 CPC). * * *</w:t>
      </w:r>
    </w:p>
    <w:p>
      <w:r>
        <w:t>- 6/6 -</w:t>
      </w:r>
    </w:p>
    <w:p>
      <w:r>
        <w:t>C/3941/2022</w:t>
      </w:r>
    </w:p>
    <w:p>
      <w:r>
        <w:t>PAR CES MOTIFS, La Chambre civile : Statuant sur requête de suspension du caractère exécutoire de l'ordonnance entreprise : Admet la requête de A______, A______ (EUROPE), A______ LTD, A______ (ASIA) LTD tendant à suspendre le caractère exécutoire du dispositif de l'ordonnance OTPI/73/2024 rendue le 25 janvier 2024 par le Tribunal de première instance dans la cause C/3941/2022. Dit qu'il sera statué sur les frais de la présente décision dans l’arrêt au fond. Siégeant : Madame Paola CAMPOMAGNANI, présidente;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