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ACJC/218/2019 vom 21. Februar 2019</w:t>
      </w:r>
    </w:p>
    <w:p>
      <w:r>
        <w:t>GE Cour de justice, 2019-02-21, FR</w:t>
      </w:r>
    </w:p>
    <w:p>
      <w:r>
        <w:rPr>
          <w:b/>
        </w:rPr>
        <w:t xml:space="preserve">Quelle: </w:t>
      </w:r>
      <w:r>
        <w:t>https://mcp.opencaselaw.ch/entscheid/ge_gerichte_ACJC_218_2019</w:t>
      </w:r>
    </w:p>
    <w:p>
      <w:r>
        <w:t>FR: GE_GERICHTE ACJC/218/2019 du 21 février 2019</w:t>
      </w:r>
    </w:p>
    <w:p>
      <w:r>
        <w:t>IT: GE_GERICHTE ACJC/218/2019 del 21 febbraio 2019</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w:t>
      </w:r>
    </w:p>
    <w:p>
      <w:r>
        <w:t>- 5/8 -</w:t>
      </w:r>
    </w:p>
    <w:p>
      <w:r>
        <w:t>C/10492/2018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w:t>
      </w:r>
    </w:p>
    <w:p>
      <w:r>
        <w:rPr>
          <w:b/>
        </w:rPr>
        <w:t>E. 1.2</w:t>
      </w:r>
    </w:p>
    <w:p>
      <w:r>
        <w:t>Les conclusions, les allégations de faits et les preuves nouvelles sont irrecevables (art. 326 al. 1 CPC). Ainsi, les pièces nouvelles produites par le recourant (à l'exception de la pièce n° 6 déjà produite en première instance) sont irrecevables, ainsi que les allégués de faits y afférent.</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3.1</w:t>
      </w:r>
    </w:p>
    <w:p>
      <w:r>
        <w:t>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w:t>
      </w:r>
    </w:p>
    <w:p>
      <w:r>
        <w:t>- 6/8 -</w:t>
      </w:r>
    </w:p>
    <w:p>
      <w:r>
        <w:t>C/10492/2018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op. cit., n. 51 ad art. 81 LP). Toutefois, tant selon la doctrine que selon la jurisprudence, un jugement portant condamnation à verser une contribution d'entretien constitue un titre de mainlevée définitive tant qu'il n'a pas été modifié par un nouveau jugement entré en force de chose jugée (arrêts du Tribunal fédéral 5A_419/2009 du 15 septembre 2009 consid. 7.3.1; 5P.82/2002 du 11 avril 2002 consid. 3b), c'est-à-dire qui est devenu définitif, parce qu'il ne peut plus être attaqué par une voie de recours ordinaire qui, de par la loi, a un effet suspensif (arrêt du Tribunal fédéral 5A_419/2009 du 15 septembre 2009 précité ibid). L'extinction de la dette doit être soulevée et prouvée par titre par le poursuivi (SCHMIDT, Schweizerische Zivilprozessordnung, Kurzkommentar ZPO, 2ème éd., 2013, n. 1 ad art. 81 LP).</w:t>
      </w:r>
    </w:p>
    <w:p>
      <w:r>
        <w:rPr>
          <w:b/>
        </w:rPr>
        <w:t>E. 3.3</w:t>
      </w:r>
    </w:p>
    <w:p>
      <w:r>
        <w:t>Selon l'art. 289 al. 1 CC, les contributions d'entretien sont dues à l'enfant et sont versées durant sa minorité à son représentant légal ou au parent qui en assume la garde, sauf si le juge en décide autrement.</w:t>
      </w:r>
    </w:p>
    <w:p>
      <w:r>
        <w:t>Selon la jurisprudence du Tribunal fédéral, le principe selon lequel, en vertu de l'art. 318 al. 1 CC, le détenteur de l'autorité parentale a qualité pour exercer en son nom les droits de l'enfant mineur et pour les faire valoir en justice ou dans une poursuite en agissant personnellement comme partie doit finalement valoir pour</w:t>
      </w:r>
    </w:p>
    <w:p>
      <w:r>
        <w:t>- 7/8 -</w:t>
      </w:r>
    </w:p>
    <w:p>
      <w:r>
        <w:t>C/10492/2018 toutes les questions de nature pécuniaire et, par conséquent aussi, d'une manière générale, pour celles relatives à des contributions d'entretien (arrêt du Tribunal fédéral 5A_726/2009 du 30 avril 2010 consid. 2.2).</w:t>
      </w:r>
    </w:p>
    <w:p>
      <w:r>
        <w:rPr>
          <w:b/>
        </w:rPr>
        <w:t>E. 3.4</w:t>
      </w:r>
    </w:p>
    <w:p>
      <w:r>
        <w:t>En l'espèce, il est constant que par jugement du 19 juin 2014, le Tribunal de première instance a donné acte, et condamné en tant que de besoin, le recourant à verser en mains de l'intimée, par mois et d'avance, la somme de 600 fr. à titre de contributions à l'entretien de chacun des enfants mineurs du couple, à compter du 1er juillet 2014. Il n'est dès lors pas déterminant que l'intimée ait ou non été partie à ladite procédure, le recourant s'étant engagé à verser ces sommes auprès de l'intimée. Il n'est pas non plus déterminant que la page de garde du jugement ait mentionné que les enfants étaient domiciliés auprès de leur mère, celle-ci assumant, à l'époque du jugement, leur garde. Le recourant n'a d'ailleurs pas formé appel contre ce jugement, celui-ci étant exécutoire, ni fait valoir, à l'époque de cette procédure, une quelconque informalité à cet égard. Comme l'a retenu à bon droit le Tribunal, l'intimée a qualité pour requérir le paiement des contributions d'entretien, devant être versées en ses mains. Les griefs du recourant sont ainsi infondés. Avec le Tribunal, la Cour retient que l'intimée a requis trois poursuites à l'encontre du recourant, la première portant sur les contributions d'entretien d'avril à août 2017, la seconde de septembre à novembre 2017. La dernière poursuite, objet de la présente procédure, concerne les mois de décembre 2017 et janvier à mars 2018 bien qu'elle ne comporte que la référence à "décembre-mars". Le recourant ne soutient d'ailleurs pas avoir versé ces montants à l'intimée. C'est également à bon droit que le premier juge a retenu que l'existence d'une procédure en modification du jugement ne faisait pas obstacle au prononcé de la mainlevée, ledit jugement du 19 juin 2014 étant toujours exécutoire. Les griefs du recourant sont ainsi infondés.</w:t>
      </w:r>
    </w:p>
    <w:p>
      <w:r>
        <w:rPr>
          <w:b/>
        </w:rPr>
        <w:t>E. 3.5</w:t>
      </w:r>
    </w:p>
    <w:p>
      <w:r>
        <w:t>Le recours sera, partant, rejeté.</w:t>
      </w:r>
    </w:p>
    <w:p>
      <w:r>
        <w:rPr>
          <w:b/>
        </w:rPr>
        <w:t>E. 4</w:t>
      </w:r>
    </w:p>
    <w:p>
      <w:r>
        <w:t>Le recourant, qui succombe, supportera les frais de son recours (art. 106 al. 1 CPC), arrêtés à 300 fr. (art. 48, 61 OELP), couverts par l'avance déjà opérée, acquise à l'Etat de Genève (art. 111 al. 1 CPC).</w:t>
      </w:r>
    </w:p>
    <w:p>
      <w:r>
        <w:t>Il n'y a pas lieu à l'allocation de dépens, les démarches effectuées ne le justifiant pas (art. 95 al. 3 let. c CPC a contrario).</w:t>
      </w:r>
    </w:p>
    <w:p>
      <w:r>
        <w:t>* * * * *</w:t>
      </w:r>
    </w:p>
    <w:p>
      <w:r>
        <w:t>- 8/8 -</w:t>
      </w:r>
    </w:p>
    <w:p>
      <w:r>
        <w:t>C/10492/2018 PAR CES MOTIFS, La Chambre civile : A la forme : Déclare recevable le recours interjeté le 24 octobre 2018 par A______ contre le jugement JTPI/15882/2018 rendu le 10 octobre 2018 par le Tribunal de première instance dans la cause C/10492/2018-16 SML. Au fond : Rejette ce recours. Déboute les parties de toutes autres conclusions. Sur les frais : Arrête les frais judiciaires du recours à 300 fr., couverts par l'avance de frais opérée, acquise à l'Etat de Genève et les met à la charge de A______. Dit qu'il n'est pas alloué de dépens.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