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ACJC/217/2017 vom 27. Februar 2017</w:t>
      </w:r>
    </w:p>
    <w:p>
      <w:r>
        <w:t>GE Cour de justice, 2017-02-27, FR</w:t>
      </w:r>
    </w:p>
    <w:p>
      <w:r>
        <w:rPr>
          <w:b/>
        </w:rPr>
        <w:t xml:space="preserve">Quelle: </w:t>
      </w:r>
      <w:r>
        <w:t>https://mcp.opencaselaw.ch/entscheid/ge_gerichte_ACJC_217_2017</w:t>
      </w:r>
    </w:p>
    <w:p>
      <w:r>
        <w:t>FR: GE_GERICHTE ACJC/217/2017 du 27 février 2017</w:t>
      </w:r>
    </w:p>
    <w:p>
      <w:r>
        <w:t>IT: GE_GERICHTE ACJC/217/2017 del 27 febbraio 2017</w:t>
      </w:r>
    </w:p>
    <w:p>
      <w:pPr>
        <w:pStyle w:val="Heading2"/>
      </w:pPr>
      <w:r>
        <w:t>Regeste</w:t>
      </w:r>
    </w:p>
    <w:p>
      <w:r>
        <w:t>Résumé: CALCUL DE RENDEMENT - PRIX D'ACHAT - TRANSFERT D'ACTIFS ET PASSIFS D'UNE SOCIÉTÉ La valeur de sortie retenue par l'administration fiscale suite à la liquidation des actifs et passifs d'une personne morale et au transfert de ces derniers ne reflète en principe pas la valeur d'achat de l'immeuble.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