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ACJC/216/2014 vom 23. September 2013</w:t>
      </w:r>
    </w:p>
    <w:p>
      <w:r>
        <w:t>GE Cour de justice, 2013-09-23, FR</w:t>
      </w:r>
    </w:p>
    <w:p>
      <w:r>
        <w:rPr>
          <w:b/>
        </w:rPr>
        <w:t xml:space="preserve">Quelle: </w:t>
      </w:r>
      <w:r>
        <w:t>https://mcp.opencaselaw.ch/entscheid/ge_gerichte_ACJC_216_2014</w:t>
      </w:r>
    </w:p>
    <w:p>
      <w:r>
        <w:t>FR: GE_GERICHTE ACJC/216/2014 du 23 septembre 2013</w:t>
      </w:r>
    </w:p>
    <w:p>
      <w:r>
        <w:t>IT: GE_GERICHTE ACJC/216/2014 del 23 settembre 2013</w:t>
      </w:r>
    </w:p>
    <w:p>
      <w:pPr>
        <w:pStyle w:val="Heading2"/>
      </w:pPr>
      <w:r>
        <w:t>Erwägungen</w:t>
      </w:r>
    </w:p>
    <w:p>
      <w:r>
        <w:rPr>
          <w:b/>
        </w:rPr>
        <w:t>E. 1.1</w:t>
      </w:r>
    </w:p>
    <w:p>
      <w:r>
        <w:t>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w:t>
      </w:r>
    </w:p>
    <w:p>
      <w:r>
        <w:rPr>
          <w:b/>
        </w:rPr>
        <w:t>E. 1.2</w:t>
      </w:r>
    </w:p>
    <w:p>
      <w:r>
        <w:t>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w:t>
      </w:r>
    </w:p>
    <w:p>
      <w:r>
        <w:t>- 4/6 -</w:t>
      </w:r>
    </w:p>
    <w:p>
      <w:r>
        <w:t>C/16168/2013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Selon l'intention du législateur, l'art. 172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5A.728/20078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rPr>
          <w:b/>
        </w:rPr>
        <w:t>E. 3.2</w:t>
      </w:r>
    </w:p>
    <w:p>
      <w:r>
        <w:t>En l'occurrence, le recourant a démontré avoir soldé la dette de l'intimée. Il a, par ailleurs, produit, après l'échéance de l'ultime délai qui lui avait été fixé, copie de ses bilan 2011, bilan intermédiaire 2012 et compte de pertes et profits au 30 juin 2013. Il ne fournit aucune information sur l'état de ses liquidités. Par</w:t>
      </w:r>
    </w:p>
    <w:p>
      <w:r>
        <w:t>- 5/6 -</w:t>
      </w:r>
    </w:p>
    <w:p>
      <w:r>
        <w:t>C/16168/2013 ailleurs, ses poursuites en cours, au nombre de vingt-neuf selon l'extrait de l'Offices des poursuites, dépassent 92'000 fr. Le recourant n'est donc pas parvenu à démontrer sa solvabilité. L'une des deux conditions prévues par l'art. 174 LP n'est ainsi pas réalisée. Par conséquent, le recours ne pourra être que rejeté.</w:t>
      </w:r>
    </w:p>
    <w:p>
      <w:r>
        <w:rPr>
          <w:b/>
        </w:rPr>
        <w:t>E. 4</w:t>
      </w:r>
    </w:p>
    <w:p>
      <w:r>
        <w:t>Le recourant, qui succombe, supportera les frais de son recours (art. 106 CPC). Ceux-ci seront arrêtés à 220 fr. (art. 52 let. b et 61 al. 1 OELP), couverts par l'avance de frais déjà effectuée. * * * * *</w:t>
      </w:r>
    </w:p>
    <w:p>
      <w:r>
        <w:t>- 6/6 -</w:t>
      </w:r>
    </w:p>
    <w:p>
      <w:r>
        <w:t>C/16168/2013 PAR CES MOTIFS, La Chambre civile : A la forme : Déclare recevable le recours interjeté par A______ contre le jugement JTPI/12566/2013 rendu le 23 septembre 2013 par le Tribunal de première instance dans la cause C/16168/2013-4 SFC. Au fond : Rejette ce recours. Le jugement entrepris est confirmé, la faillite de A______ prenant effet le 19 février 2014 à 12h.00. Déboute les parties de toutes autres conclusions. Sur les frais du recours : Arrête les frais du recours à 220 fr., couverts par l'avance de frais déjà effectuée, acquise à l'Etat, soit pour lui les Services financiers du Pouvoir judiciaire. Les met à la charge de A______.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