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ACJC/213/2021 vom 22. Februar 2021</w:t>
      </w:r>
    </w:p>
    <w:p>
      <w:r>
        <w:t>GE Cour de justice, 2021-02-22, FR</w:t>
      </w:r>
    </w:p>
    <w:p>
      <w:r>
        <w:rPr>
          <w:b/>
        </w:rPr>
        <w:t xml:space="preserve">Quelle: </w:t>
      </w:r>
      <w:r>
        <w:t>https://mcp.opencaselaw.ch/entscheid/ge_gerichte_ACJC_213_2021</w:t>
      </w:r>
    </w:p>
    <w:p>
      <w:r>
        <w:t>FR: GE_GERICHTE ACJC/213/2021 du 22 février 2021</w:t>
      </w:r>
    </w:p>
    <w:p>
      <w:r>
        <w:t>IT: GE_GERICHTE ACJC/213/2021 del 22 febbraio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23.02.2021.</w:t>
      </w:r>
    </w:p>
    <w:p>
      <w:r>
        <w:t>République et canton de Genève POUVOIR JUDICIAIRE Cour de justice civile Chambre civile</w:t>
      </w:r>
    </w:p>
    <w:p>
      <w:r>
        <w:t>Recourant : Intimée : Monsieur A______ ______ ______ Genève</w:t>
      </w:r>
    </w:p>
    <w:p>
      <w:r>
        <w:t>B______ SA ______ Case postale ______ ______ [VD ]</w:t>
      </w:r>
    </w:p>
    <w:p>
      <w:r>
        <w:t>C/57/2021 ACJC/213/2021 DU LUNDI 22 FEVRIER 2021 Vu le jugement JTPI/1993/2021 du 11 février 2021 prononçant la faillite de A______ (ch. 1 du dispositif); Vu le recours contre ledit jugement formé le 19 février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JTPI/1993/2021 rendu par le Tribunal de première instance le 11 février 2021 dans la cause C/57/2021-1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