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ACJC/20/2015 vom 28. Mai 2014</w:t>
      </w:r>
    </w:p>
    <w:p>
      <w:r>
        <w:t>GE Cour de justice, 2014-05-28, FR</w:t>
      </w:r>
    </w:p>
    <w:p>
      <w:r>
        <w:rPr>
          <w:b/>
        </w:rPr>
        <w:t xml:space="preserve">Quelle: </w:t>
      </w:r>
      <w:r>
        <w:t>https://mcp.opencaselaw.ch/entscheid/ge_gerichte_ACJC_20_2015</w:t>
      </w:r>
    </w:p>
    <w:p>
      <w:r>
        <w:t>FR: GE_GERICHTE ACJC/20/2015 du 28 mai 2014</w:t>
      </w:r>
    </w:p>
    <w:p>
      <w:r>
        <w:t>IT: GE_GERICHTE ACJC/20/2015 del 28 maggio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 vient de se référer à la date de la décision cantonale (arrêts du Tribunal fédéral 4A_187/2011 du 9 juin 2011 et 4A_189/2011 du 4 juillet 2011).</w:t>
      </w:r>
    </w:p>
    <w:p>
      <w:r>
        <w:t>- 6/9 -</w:t>
      </w:r>
    </w:p>
    <w:p>
      <w:r>
        <w:t>C/9740/2012</w:t>
      </w:r>
    </w:p>
    <w:p>
      <w:r>
        <w:rPr>
          <w:b/>
        </w:rPr>
        <w:t>E. 1.2</w:t>
      </w:r>
    </w:p>
    <w:p>
      <w:r>
        <w:t>En l'espèce, le loyer mensuel du logement, charges comprises, s'élève à 1'400 fr. La valeur litigieuse est ainsi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L'appelante reproche au Tribunal d'avoir invalidé le congé qu'elle avait donné le 27 février 2012, retenant que la sous-location n'aurait pas pu être refusée.</w:t>
      </w:r>
    </w:p>
    <w:p>
      <w:r>
        <w:rPr>
          <w:b/>
        </w:rPr>
        <w:t>E. 2.1</w:t>
      </w:r>
    </w:p>
    <w:p>
      <w:r>
        <w:t>Remettre la chose à bail à un tiers sans le consentement du bailleur - comme cela s'est produit en l'espèce - constitue en soi une utilisation de la chose qui viole la loi. Une sous-location sans le consentement du bailleur peut justifier une rési- liation anticipée du bail selon l'art. 257f al. 3 CO (ATF 134 III 300 consid. 3.1 p. 302, 446 consid. 2.2 p. 449). Il faut cependant que le bailleur somme préalable- ment le locataire - comme cela a été fait en l'espèce - de mettre fin à la sous- location; l'exigence selon laquelle le maintien du bail doit être devenu insuppor- table n'a pas de portée propre (ATF 134 III 300 consid. 3.1 p. 302 ss, 446 consid. 2.2 p. 449).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p. 304; 134 III 446 consid. 2.2 in fine p. 449). Les cas où le bailleur pourrait refuser son consentement sont énumérés à l'art. 262 al. 2 CO; il faut encore ajouter le cas où le locataire abuse de son droit à la sous- location au sens de l'art. 2 CC, parce que, dans ce cas de figure, le droit à la sous- location n'est pas protégé et qu'il faut raisonner comme s'il n'existait pas. La jurisprudence a admis que si le locataire a perdu toute idée de reprendre un jour l'usage de la chose louée et qu'il a procédé en réalité à une substitution de loca- taires par la voie détournée de la sous-location, il y a abus de droit et le locataire ne saurait se prévaloir de son droit de sous-louer (ATF 134 III 446 consid. 2.4 p. 450 et les arrêts cités). Il y a lieu d'être relativement restrictif afin d'éviter que le droit à la sous-location ne soit dénaturé. A défaut, le bailleur peut opposer son refus (ATF 138 III 59 consid. 2.2.1 p. 63).</w:t>
      </w:r>
    </w:p>
    <w:p>
      <w:r>
        <w:t>- 7/9 -</w:t>
      </w:r>
    </w:p>
    <w:p>
      <w:r>
        <w:t>C/9740/2012 Le bailleur qui donne un tel congé supporte le fardeau de la preuve pour la validité du congé (cf. ATF 138 III 59 consid. 2.1 p. 61; WEBER, in Commentaire bâlois, 5e éd. 2011, n° 8 ad art. 257f CO). Il doit prouver que les conditions d'une résilia- tion anticipée sont données et, partant, que la sous-location n'est pas licite, par exemple parce que le locataire n'a pas l'intention de réutiliser lui-même l'objet loué dans un avenir prévisible. Apporter la preuve de ce fait interne peut être très difficile, voire impossible pour le bailleur. Il y a lieu d'admettre un devoir de col- laboration du locataire (sur ce devoir en général, cf. WALTER, Commentaire ber- nois, 2012, n° 318 ss ad art. 8 CC; ATF 119 II 305, à propos des faits négatifs); cela se justifie d'autant plus que le congé litigieux résulte du fait que le locataire a lui-même fait valoir un droit - droit de sous-louer - que le bailleur conteste (arrêt du Tribunal fédéral 4A_430/2013, du 14 février 2014, consid. 4.2). Pour juger de la validité de la résiliation, il faut se placer au moment où celle-ci a été notifiée (ATF 138 III 59 consid. 2.1 p. 61 s. et les arrêts cités).</w:t>
      </w:r>
    </w:p>
    <w:p>
      <w:r>
        <w:rPr>
          <w:b/>
        </w:rPr>
        <w:t>E. 2.2</w:t>
      </w:r>
    </w:p>
    <w:p>
      <w:r>
        <w:t>En l'espèce, l'appelante, se fondant sur une visite dans les locaux loués à une date indéterminée, dont il résultait qu'un nom de tiers avait été apposé sur la boîte aux lettres, et que les occupants du logement alors présents avaient déclaré que celui-ci leur était prêté par un cousin, est parvenue à la conclusion que les loca- taires n'étaient plus présents et qu'il y avait sous-location non autorisée. Elle a dès lors sommé les locataires de réintégrer les locaux loués, sous peine de résiliation. Les locataires ont répondu que l'intimé était régulièrement présent, que le reste de la famille n'habitait plus du tout le logement, mais comptait y revenir dans les six mois suivants, et que des cousins étaient hébergés à titre gratuit. Sur la base de ces éléments, l'appelante a mis fin au bail, décision qui n'a pas été contestée par les intimés. A l'appui de ses conclusions en évacuation, elle a invoqué la sous-location non autorisée, et le départ des intimés qui n'étaient pas domiciliés à Genève, départ qui lui aurait été confirmé par d'autres locataires. Il est établi que les intimés ne sont pas domiciliés à Genève, et que des tiers occu- paient le logement au moment où la résiliation a été donnée. L'intimé a, de façon constante, indiqué qu'il se trouvait régulièrement dans l'appar- tement, contrairement à sa famille. Il a en outre déclaré qu'il avait l'intention de s'y établir à nouveau entièrement par la suite, donnant des explications qui ont varié sur les membres de sa famille qui reviendraient à Genève avec lui, pour quelle rai- son et à quelle date. Il a aussi admis que des tiers, primitivement présentés comme des cousins hébergés gratuitement puis comme des amis payant un loyer, se trou- vaient dans les locaux.</w:t>
      </w:r>
    </w:p>
    <w:p>
      <w:r>
        <w:t>- 8/9 -</w:t>
      </w:r>
    </w:p>
    <w:p>
      <w:r>
        <w:t>C/9740/2012 Les enquêtes conduites par le Tribunal n'ont pas mis en évidence d'élément con- firmant les allégués de l'appelante, selon lesquels l'appartement faisait l'objet d'une sous-location à l'exclusion de toute présence dans les locaux de l'intimé. Pour leur part, les intimés ont vu leur version soutenue par les déclarations tant des sous- locataires que d'autres occupants de l'immeuble ainsi que d'une tierce personne, qui ont tous confirmé la présence régulière du locataire principal. Les deux ou trois visites faites par la bailleresse, à des dates soit indéterminée soit postérieure à la signification du congé, au cours desquelles la présence de l'intimé n'aurait pas été observée, ne sont pas propres à établir l'absence de celui-ci. La cir- constance qu'il paraisse insolite que l'intimé, officiellement établi à Londres où se trouve sa famille et où il dit bénéficier d'un emploi, vienne relativement fréquem- ment à Genève où il reconnaît ne pas avoir d'activité, ne l'est pas davantage, en l'absence de toute autre élément. Il s'ensuit que l'appelante, à qui incombe le fardeau de la preuve, n'est pas par- venue à démontrer que l'intimé a perdu totalement l'usage de l'appartement. De surcroît, les éléments recueillis dans la procédure ne permettent pas non plus de tirer la conclusion que l'intimé aurait renoncé à s'établir à nouveau complè- tement à Genève, ce qu'il a contesté de façon constante, même si les dates de cet événement ont varié au fil de la procédure. Les sous-locataires ont précisé savoir qu'ils devraient quitter l'appartement au retour d'une partie ou de tous les membres de la famille du locataire principal, confirmant en cela les explications des intimés. Ainsi, comme l'ont retenu à raison les premiers juges, l'appelante n'aurait pas pu refuser son consentement à la sous-location, qui se révélait licite, s'il lui avait été demandé. Le motif pris d'une sous-location non autorisée n'était donc pas propre à justifier une résiliation anticipée du bail en application de l'art. 257f al. 3 CO. Le jugement entrepris, qui a déclaré inefficace le congé notifié le 27 février 2012 pour le 30 avril 2012 et débouté l'appelante de ses conclusions en évacuation, sera dès lors confirmé.</w:t>
      </w:r>
    </w:p>
    <w:p>
      <w:r>
        <w:rPr>
          <w:b/>
        </w:rPr>
        <w:t>E. 3</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- 9/9 -</w:t>
      </w:r>
    </w:p>
    <w:p>
      <w:r>
        <w:t>C/9740/2012 PAR CES MOTIFS, La Chambre des baux et loyers : A la forme : Déclare recevable l'appel interjeté le 2 juillet 2014 par A______ contre le jugement JTBL/604/2014 rendu le 28 mai 2014 par le Tribunal des baux et loyers dans la cause C/9740/2012-6-OSD. Au fond : Confirme ce jugement. Déboute les parties de toutes autres conclusions. Dit que la procédure est gratuite.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