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ACJC/209/2021 vom 12. Februar 2021</w:t>
      </w:r>
    </w:p>
    <w:p>
      <w:r>
        <w:t>GE Cour de justice, 2021-02-12, FR</w:t>
      </w:r>
    </w:p>
    <w:p>
      <w:r>
        <w:rPr>
          <w:b/>
        </w:rPr>
        <w:t xml:space="preserve">Quelle: </w:t>
      </w:r>
      <w:r>
        <w:t>https://mcp.opencaselaw.ch/entscheid/ge_gerichte_ACJC_209_2021</w:t>
      </w:r>
    </w:p>
    <w:p>
      <w:r>
        <w:t>FR: GE_GERICHTE ACJC/209/2021 du 12 février 2021</w:t>
      </w:r>
    </w:p>
    <w:p>
      <w:r>
        <w:t>IT: GE_GERICHTE ACJC/209/2021 del 12 febbraio 2021</w:t>
      </w:r>
    </w:p>
    <w:p>
      <w:pPr>
        <w:pStyle w:val="Heading2"/>
      </w:pPr>
      <w:r>
        <w:t>Erwägungen</w:t>
      </w:r>
    </w:p>
    <w:p>
      <w:r>
        <w:rPr>
          <w:b/>
        </w:rPr>
        <w:t>E. 1.1</w:t>
      </w:r>
    </w:p>
    <w:p>
      <w:r>
        <w:t>L'appel est dirigé contre une décision prise sur mesures provisionnelles (art. 308 al. 1 let. b CPC), dans une cause pouvant être qualifiée de non pécuniaire dans son ensemble, puisque portant notamment sur l'organisation des relations personnelles (arrêt du Tribunal fédéral 5A_765/2012 du 19 février 2013 consid. 1.1). L'appel a été introduit, selon la forme prescrite, dans les dix jours à compter de la notification de la décision attaquée, la présente cause étant soumise à la procédure sommaire (art. 248 let. d, 311 al. 1 et 314 al. 1 CPC). Il est ainsi recevable.</w:t>
      </w:r>
    </w:p>
    <w:p>
      <w:r>
        <w:rPr>
          <w:b/>
        </w:rPr>
        <w:t>E. 1.2</w:t>
      </w:r>
    </w:p>
    <w:p>
      <w:r>
        <w:t>La Cour revoit la cause avec un plein pouvoir d'examen en fait et en droit (art. 310 CPC). La procédure est régie par les maximes inquisitoire et d'office (art. 296 al. 1 et 3 CPC).</w:t>
      </w:r>
    </w:p>
    <w:p>
      <w:r>
        <w:t>- 7/12 -</w:t>
      </w:r>
    </w:p>
    <w:p>
      <w:r>
        <w:t>C/5794/2020</w:t>
      </w:r>
    </w:p>
    <w:p>
      <w:r>
        <w:rPr>
          <w:b/>
        </w:rPr>
        <w:t>E. 1.3</w:t>
      </w:r>
    </w:p>
    <w:p>
      <w:r>
        <w:t>Les mesures provisionnelles étant soumises à la procédure sommaire, avec administration restreinte des moyens de preuve, la cognition du juge est limitée à la simple vraisemblance des faits et à un examen sommaire du droit (arrêt du Tribunal fédéral 5A_442/2013 du 24 juillet 2013 consid. 2.1 et 5.1; ATF 127 III 474 consid. 2b/bb).</w:t>
      </w:r>
    </w:p>
    <w:p>
      <w:r>
        <w:rPr>
          <w:b/>
        </w:rPr>
        <w:t>E. 1.4</w:t>
      </w:r>
    </w:p>
    <w:p>
      <w:r>
        <w:t>Compte tenu de l'issue de la présente procédure, la question de la recevabilité des pièces nouvelles devant la Cour peut souffrir de demeurer indécise. Il en va de même de la question de savoir si le Tribunal était fondé à rendre une décision sur mesures provisionnelles sans attendre le rapport du Service d'évaluation et d'accompagnement de la séparation parentale, alors qu'à l'issue de l'audience du 14 octobre 2020 il avait indiqué que la cause serait gardée à juger sur la question de la légitimation active et sur mesures provisionnelles à réception dudit rapport.</w:t>
      </w:r>
    </w:p>
    <w:p>
      <w:r>
        <w:rPr>
          <w:b/>
        </w:rPr>
        <w:t>E. 2</w:t>
      </w:r>
    </w:p>
    <w:p>
      <w:r>
        <w:t>2.1.1 Les père et mère doivent pourvoir à l'entretien de l'enfant et assumer, par conséquent, les frais de son éducation, de sa formation et des mesures prises pour le protéger (art. 276 al. 1 CC).</w:t>
      </w:r>
    </w:p>
    <w:p>
      <w:r>
        <w:t>La contribution d'entretien doit correspondre aux besoins de l'enfant ainsi qu'à la situation et aux ressources de ses père et mère (art. 285 al. 1 CC).</w:t>
      </w:r>
    </w:p>
    <w:p>
      <w:r>
        <w:t>2.1.2 L'enfant peut agir contre son père et sa mère, ou contre les deux ensemble, afin de leur réclamer l'entretien pour l'avenir et pour l'année qui précède l'ouverture de l'action (art. 279 al. 1 CC).</w:t>
      </w:r>
    </w:p>
    <w:p>
      <w:r>
        <w:t>L'enfant, demandeur à l'entretien, agit par l'intermédiaire de son représentant légal pour exercer sa prétention en justice (PIOTET, CR, CC I 2010 ad art. 279 n. 6).</w:t>
      </w:r>
    </w:p>
    <w:p>
      <w:r>
        <w:t>L'action prévue par l'art. 279 al. 1 CC constitue le moyen juridique de fixer la ou les contributions d'entretien de parents non mariés ou de parents mariés, mais non engagés dans une procédure matrimoniale. (…). La qualité pour agir appartient en principe à l'enfant. La jurisprudence admet cependant que le représentant légal puisse agir en son propre nom (et non seulement comme représentant de l'enfant mineur ["Prozessstandschaft"]) tant lorsqu'on a affaire à des parents mariés ou divorcés (par l'effet des dispositions spéciales que sont les art. 133 al. 1, 134 a. 1 et 176 al. 3 CC – article auquel renvoie l'art. 276 CPC pour les mesures provisionnelles) qu'en présence de parents non mariés, sur la base de l'art. 318 al. 1 CC; le Tribunal fédéral estime en effet que cette dernière disposition permet aux père et mère détenteur(s) de l'autorité parentale de protéger en leur nom les droits patrimoniaux de l'enfant et de les faire valoir en justice en agissant personnellement comme parties pour toutes les questions de nature pécuniaire, y compris pour celles relatives aux contributions d'entretien (MEIER/STETTLER, Droit de la filiation, 6ème édition, 2019, n. 1486 et 1488).</w:t>
      </w:r>
    </w:p>
    <w:p>
      <w:r>
        <w:t>- 8/12 -</w:t>
      </w:r>
    </w:p>
    <w:p>
      <w:r>
        <w:t>C/5794/2020</w:t>
      </w:r>
    </w:p>
    <w:p>
      <w:r>
        <w:t>Les contributions d'entretien sont dues à l'enfant et sont versées durant sa minorité à son représentant légal ou au parent qui en assume la garde (art. 289 al. 1 CC). Le créancier de l'entretien est donc l'enfant lui-même, même si, durant sa minorité, son représentant légal est en droit de les réclamer en son propre nom et à la place de l'intéressé (arrêt du Tribunal fédéral 5A_445/2015 du 13 octobre 2015 et les références citées). 2.1.3 Toute action doit être fondée sur un intérêt à agir, soit un intérêt digne de protection, dont l'absence doit être relevée d'office (art. 59 al.1 et al.2 lit. a CPC; arrêt du Tribunal fédéral 4P.239/2005 c.4.1). L'intérêt doit être personnel et actuel. Il n'est donné que si l'admission des conclusions du demandeur peut lui être d'utilité concrète et lui éviter un dommage économique ou idéal (arrêt du Tribunal fédéral 5A_190/2019 c.2.1).</w:t>
      </w:r>
    </w:p>
    <w:p>
      <w:r>
        <w:t>2.2.1 Le cas d'espèce a ceci de particulier que "l'action alimentaire" a été intentée par le père de la mineure, débiteur d'une contribution à son entretien, dans la mesure où l'enfant vit sous la garde de sa mère. Dans le cadre de cette action, le père s'est engagé à verser à ce titre, sur mesures provisionnelles, des montants compris entre 600 fr. et 1'000 fr. par mois, en fonction de l'âge de sa fille.</w:t>
      </w:r>
    </w:p>
    <w:p>
      <w:r>
        <w:t>Doctrine et jurisprudence admettent certes que le détenteur de l'autorité parentale puisse agir en son propre nom dans le cadre de l'art. 279 CC. Encore faut-il toutefois que ledit détenteur de l'autorité parentale entende protéger les droits patrimoniaux de l'enfant et les faire valoir en justice. Autrement dit, l'action du représentant légal de l'enfant doit avoir pour but, au sens de l'art. 279 CC, de réclamer les contributions d'entretien qu'il considère être dues à l'enfant.</w:t>
      </w:r>
    </w:p>
    <w:p>
      <w:r>
        <w:t>Or, tel n'est pas le cas dans la présente procédure, que l'intimé a dirigée contre l'appelante ainsi que contre sa propre fille, représentée par sa mère; l'on ne saurait par conséquent considérer que son intention était, ce faisant, de protéger les droits patrimoniaux de l'enfant.</w:t>
      </w:r>
    </w:p>
    <w:p>
      <w:r>
        <w:t>Compte tenu de ce qui précède, il y a lieu de considérer que l'intimé n'avait pas la légitimation active pour agir sur la base de l'art. 279 al. 1 CC, de sorte qu'il aurait dû être débouté de ses conclusions en ce qui concernait la fixation d'une contribution à l'entretien de l'enfant.</w:t>
      </w:r>
    </w:p>
    <w:p>
      <w:r>
        <w:t>Le chiffre 4 du dispositif de l'ordonnance attaquée sera par conséquent annulé et l'intimé débouté de ses conclusions sur mesures provisionnelles en fixation d'une contribution d'entretien en faveur de l'enfant B______.</w:t>
      </w:r>
    </w:p>
    <w:p>
      <w:r>
        <w:t>2.2.2 A titre supplémentaire, il sera relevé que l'intimé n'a aucun intérêt à se faire donner acte de son engagement de verser une contribution à l'entretien de sa fille mineure. En effet, l'obligation d'entretien à l'égard d'un enfant résulte directement de l'art. 276 CC, sans qu'il soit nécessaire que celle-ci soit confirmée par une</w:t>
      </w:r>
    </w:p>
    <w:p>
      <w:r>
        <w:t>- 9/12 -</w:t>
      </w:r>
    </w:p>
    <w:p>
      <w:r>
        <w:t>C/5794/2020 autorité judiciaire. Il appartenait dès lors à l'intimé de verser la contribution qu'il considérait être due, en fonction des besoins de l'enfant, de ses propres revenus et de ceux de la mère de l'enfant, à charge pour cette dernière, qui exerce de fait la garde et qui assume par conséquent ses frais, de saisir le Tribunal d'une action fondée sur l'art. 279 al. 1 CC, soit au nom de l'enfant, soit en son propre nom, si elle considérait la somme versée insuffisante.</w:t>
      </w:r>
    </w:p>
    <w:p>
      <w:r>
        <w:t>Ainsi, l'action alimentaire formée à titre provisionnel par l'intimé est non seulement infondée, mais également irrecevable, faute d'intérêt à agir.</w:t>
      </w:r>
    </w:p>
    <w:p>
      <w:r>
        <w:rPr>
          <w:b/>
        </w:rPr>
        <w:t>E. 3</w:t>
      </w:r>
    </w:p>
    <w:p>
      <w:r>
        <w:t>Reste la question de l'attribution de la garde et la fixation des relations personnelles que le Tribunal a réglées sur mesures provisionnelles dans l'ordonnance attaquée.</w:t>
      </w:r>
    </w:p>
    <w:p>
      <w:r>
        <w:rPr>
          <w:b/>
        </w:rPr>
        <w:t>E. 3.1</w:t>
      </w:r>
    </w:p>
    <w:p>
      <w:r>
        <w:t>Lorsqu'elle statue sur l'autorité parentale, l'autorité de protection de l'enfant règle également les autres points litigieux. L'action alimentaire, à intenter devant le juge compétent, est réservée; dans ce cas, le juge statue aussi sur l'autorité parentale et sur les autres points concernant le sort des enfants (art. 298b al. 3 CC).</w:t>
      </w:r>
    </w:p>
    <w:p>
      <w:r>
        <w:t>Jusqu'au 31 décembre 2016, la loi obligeait les père et mère non mariés qui ne parvenaient pas à s'entendre sur les droits parentaux et sur l'entretien à poursuivre deux procédures en parallèle, devant des autorités différentes : l'autorité de protection de l'enfant pour les droits et devoirs parentaux, le juge de l'entretien pour la contribution financière. Le législateur a voulu supprimer cette difficulté en prévoyant une règle d'attraction de compétence. (…) Dès lors, lorsqu'elle statue sur l'autorité parentale, l'autorité de protection de l'enfant règle également les autres points litigieux, sous réserve des questions d'entretien si celles-ci sont contestées : l'action alimentaire à intenter devant le juge compétent est alors réservée. Dans un tel cas, le juge de l'entretien statue aussi sur l'autorité parentale et sur les autres points concernant le sort des enfants (art. 298b al. 3 2ème phr. CC). La procédure jusque-là pendante devant l'autorité de protection devient sans objet à partir du moment où le juge de l'entretien est saisi (MEIER/STETTLER, op. cit. n. 620 et 622).</w:t>
      </w:r>
    </w:p>
    <w:p>
      <w:r>
        <w:rPr>
          <w:b/>
        </w:rPr>
        <w:t>E. 3.2</w:t>
      </w:r>
    </w:p>
    <w:p>
      <w:r>
        <w:t>Il découle de ce qui précède que le Tribunal n'est compétent pour statuer sur les questions de garde et de relations personnelles que lorsqu'il est saisi d'une action alimentaire. Si tel n'est pas le cas, le Tribunal de protection de l'adulte et de l'enfant est seul compétent pour régler ces points.</w:t>
      </w:r>
    </w:p>
    <w:p>
      <w:r>
        <w:t>Dans le cas d'espèce, le Tribunal a certes été saisi d'une action alimentaire. Toutefois et dans la mesure où ladite action aurait dû être rejetée d'entrée de cause pour les raisons exposées sous chiffre 2 ci-dessus, voire déclarée d'emblée irrecevable, le Tribunal n'aurait pas dû, sur mesures provisionnelles, entrer en matière sur les questions de garde et de relations personnelles, conclusions qui</w:t>
      </w:r>
    </w:p>
    <w:p>
      <w:r>
        <w:t>- 10/12 -</w:t>
      </w:r>
    </w:p>
    <w:p>
      <w:r>
        <w:t>C/5794/2020 relevaient de la compétence du Tribunal de protection et qui étaient, partant, irrecevables.</w:t>
      </w:r>
    </w:p>
    <w:p>
      <w:r>
        <w:t>Pour les raisons qui précèdent, les chiffres 1 à 3 du dispositif de l'ordonnance attaquée seront également annulés.</w:t>
      </w:r>
    </w:p>
    <w:p>
      <w:r>
        <w:t>En définitive, l'ordonnance doit être annulée en totalité.</w:t>
      </w:r>
    </w:p>
    <w:p>
      <w:r>
        <w:rPr>
          <w:b/>
        </w:rPr>
        <w:t>E. 4.1</w:t>
      </w:r>
    </w:p>
    <w:p>
      <w:r>
        <w:t>Si l'instance d'appel statue à nouveau, elle se prononce sur les frais de la première instance (art. 318 al. 3 CPC).</w:t>
      </w:r>
    </w:p>
    <w:p>
      <w:r>
        <w:t>Les frais sont mis à la charge de la partie succombante (art. 106 al. 1 CPC).</w:t>
      </w:r>
    </w:p>
    <w:p>
      <w:r>
        <w:t>Le tribunal peut s'écarter des règles générales et répartir les frais selon sa libre appréciation, notamment lorsque le litige relève du droit de la famille (art. 107 al. 1 let. c CPC).</w:t>
      </w:r>
    </w:p>
    <w:p>
      <w:r>
        <w:t>Les frais judiciaires sont compensés avec les avances fournies par les parties (art. 111 al. 1 CPC).</w:t>
      </w:r>
    </w:p>
    <w:p>
      <w:r>
        <w:rPr>
          <w:b/>
        </w:rPr>
        <w:t>E. 4.2</w:t>
      </w:r>
    </w:p>
    <w:p>
      <w:r>
        <w:t>Les frais judiciaires de première instance, arrêtés à 500 fr. par le Tribunal, n'ont pas été contestés et son conformes au Règlement fixant le tarif des frais en matière civile – RTFMC). Ils seront confirmés et mis intégralement à la charge de C______, qui succombe. Celui-ci sera par conséquent condamné à verser la somme de 500 fr. à l'Etat de Genève, soit pour lui les Services financiers du Pouvoir judiciaire.</w:t>
      </w:r>
    </w:p>
    <w:p>
      <w:r>
        <w:t>Compte tenu de la nature familiale du litige, chaque partie supportera ses propres dépens.</w:t>
      </w:r>
    </w:p>
    <w:p>
      <w:r>
        <w:rPr>
          <w:b/>
        </w:rPr>
        <w:t>E. 4.3</w:t>
      </w:r>
    </w:p>
    <w:p>
      <w:r>
        <w:t>Les frais judiciaires d'appel, comprenant l'émolument lié à l'arrêt rendu sur effet suspensif le 19 novembre 2020, seront arrêtés à 1'000 fr. et compensés avec l'avance de frais versée par les appelantes, qui reste acquise à l'Etat de Genève.</w:t>
      </w:r>
    </w:p>
    <w:p>
      <w:r>
        <w:t>Celles-ci ayant obtenu gain de cause, les frais judiciaires d'appel seront mis intégralement à la charge de l'intimé. Ce dernier sera par conséquent condamné à verser aux appelantes, prises conjointement et solidairement, la somme de 1'000 fr. à titre de remboursement de frais. Pour les raisons déjà exposées ci-dessus, il ne sera pas alloué de dépens d'appel. * * * * *</w:t>
      </w:r>
    </w:p>
    <w:p>
      <w:r>
        <w:t>- 11/12 -</w:t>
      </w:r>
    </w:p>
    <w:p>
      <w:r>
        <w:t>C/5794/2020 PAR CES MOTIFS, La Chambre civile : A la forme : Déclare recevable l'appel interjeté par A______ et la mineure B______ contre l'ordonnance OTPI/676/2020 du 5 novembre 2020 rendue le Tribunal de première instance dans la cause C/5794/2020-3. Au fond : Annule l'ordonnance attaquée et Statuant à nouveau sur mesures provisionnelles : Déclare infondée, pour autant que recevable, l'action alimentaire formée le 26 mai 2020 par C______ à l'encontre de A______ et de la mineure B______, représentée par sa mère A______. Le déboute par conséquent de ses conclusions sur ce point. Déclare irrecevables les conclusions prises le 26 mai 2020 par C______ à l'encontre de A______ et de la mineure B______, représentée par sa mère A______, en tant qu'elles portent sur la fixation des droits parentaux et les relations personnelles entre lui-même et la mineure. Arrête les frais judiciaires de première instance à 500 fr. et les met à la charge de C______. Condamne en conséquence C______ à verser à l'Etat de Genève, soit pour lui les Services financiers du Pouvoir judiciaire, la somme de 500 fr. Dit que chaque partie supportera ses propres dépens. Sur les frais : Arrête les frais judiciaires d'appel à 1'000 fr. et les compense avec l'avance versée par A______ et l'enfant B______, représentée par sa mère, l'avance demeurant acquise à l'Etat de Genève. Les met à la charge de C______.</w:t>
      </w:r>
    </w:p>
    <w:p>
      <w:r>
        <w:t>- 12/12 -</w:t>
      </w:r>
    </w:p>
    <w:p>
      <w:r>
        <w:t>C/5794/2020 Condamne en conséquence C______ à verser à A______ et à l'enfant B______, prises conjointement et solidairement, la somme de 1'000 fr. à titre de remboursement de frais. Dit que chaque partie supportera ses propres dépens. Siégeant : Monsieur Cédric-Laurent MICHEL, président; Mesdames Pauline ERARD et Paola CAMPOMAGNANI, juges; Madame Roxane DUCOMMUN, greffière.</w:t>
      </w:r>
    </w:p>
    <w:p>
      <w:r>
        <w:t>Le président : Cédric-Laurent MICHEL</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