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ACJC/209/2017 vom 24. Februar 2017</w:t>
      </w:r>
    </w:p>
    <w:p>
      <w:r>
        <w:t>GE Cour de justice, 2017-02-24, FR</w:t>
      </w:r>
    </w:p>
    <w:p>
      <w:r>
        <w:rPr>
          <w:b/>
        </w:rPr>
        <w:t xml:space="preserve">Quelle: </w:t>
      </w:r>
      <w:r>
        <w:t>https://mcp.opencaselaw.ch/entscheid/ge_gerichte_ACJC_209_2017</w:t>
      </w:r>
    </w:p>
    <w:p>
      <w:r>
        <w:t>FR: GE_GERICHTE ACJC/209/2017 du 24 février 2017</w:t>
      </w:r>
    </w:p>
    <w:p>
      <w:r>
        <w:t>IT: GE_GERICHTE ACJC/209/2017 del 24 febbraio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la forme prévus par la loi, de sorte qu'il est recevable.</w:t>
      </w:r>
    </w:p>
    <w:p>
      <w:r>
        <w:rPr>
          <w:b/>
        </w:rPr>
        <w:t>E. 1.3</w:t>
      </w:r>
    </w:p>
    <w:p>
      <w:r>
        <w:t>Dans le cadre d'un recours, le pouvoir d'examen de la Cour est limité à la violation du droit et à la constatation manifestement inexacte des faits</w:t>
      </w:r>
    </w:p>
    <w:p>
      <w:r>
        <w:t>- 7/10 -</w:t>
      </w:r>
    </w:p>
    <w:p>
      <w:r>
        <w:t>C/10947/2016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La recourante reproche au Tribunal d'avoir violé l'art. 82 LP en refusant de prononcer la mainlevée provisoire sur la base des documents produits. Elle fait valoir que la convention conclue entre les parties constitue un contrat innommé ayant une dominante de durée évidente et que l'art. 404 CO ne trouve pas application. Dans la mesure où l'intimée n'avait pas résilié le contrat avant le 30 mars 2015, celui-ci s'était renouvelé pour une période de 48 mois. Le contrat prévoyant que le paiement des prestations fournies devait s'effectuer par trimestre et d'avance, l'intimée devait s'exécuter en premier. Par ailleurs, par courrier électronique du 25 juin 2015, l'intimée avait été mise en demeure de payer le prix dû pour les prestations à fournir durant la période de juillet à septembre 2015. La recourante était ainsi en droit de réclamer immédiatement le paiement dû pour le trimestre suivant, à savoir les mois d'octobre à décembre 2015. En tout état de cause, le montant figurant sur la facture 2______ était exigible au jour de la réquisition de poursuite, soit le 17 août 2015.</w:t>
      </w:r>
    </w:p>
    <w:p>
      <w:r>
        <w:rPr>
          <w:b/>
        </w:rPr>
        <w:t>E. 2.1</w:t>
      </w:r>
    </w:p>
    <w:p>
      <w:r>
        <w:t>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d'où ressort sa volonté de payer au poursuivant, sans réserve ni conditions, une somme d'argent déterminée, ou aisément déterminable, et échu (ATF 139 III 297 consid. 2.3.1). Un contrat écrit justifie en principe la mainlevée provisoire de l'opposition pour la somme d'argent incombant au poursuivi si les conditions d'exigibilité de la dette sont établies (arrêt du Tribunal fédéral 5A_465/2014 du 20 août 2014 consid. 7.2.1.2). Le poursuivi peut faire échec à la mainlevée en rendant immédiatement vraisemblable sa libération (art. 82 al. 2 LP). Il peut se prévaloir de tous les moyens de droit civil, exceptions ou objections, qui infirment la reconnaissance de dette, notamment l'existence ou l'extinction de la dette (arrêt précité consid. 7.2.1.3).</w:t>
      </w:r>
    </w:p>
    <w:p>
      <w:r>
        <w:rPr>
          <w:b/>
        </w:rPr>
        <w:t>E. 2.2</w:t>
      </w:r>
    </w:p>
    <w:p>
      <w:r>
        <w:t>La typologie traditionnelle des contrats innommés distingue entre contrats mixtes, sui generis et contrats complexes. Les contrats mixtes combinent les caractéristiques de plusieurs types légaux, alors que les contrats sui generis n'ont pas d'obligations caractéristiques d'un type contractuel légal. Les contrats innommés doivent être interprétés comme les contrats nommés, à savoir en</w:t>
      </w:r>
    </w:p>
    <w:p>
      <w:r>
        <w:t>- 8/10 -</w:t>
      </w:r>
    </w:p>
    <w:p>
      <w:r>
        <w:t>C/10947/2016 cherchant d'abord la réelle et commune intention des parties (interprétation subjective) et, lorsqu'une telle intention ne peut être établie, la volonté de celles-ci telle qu'elle découle de l'application du principe de la confiance (interprétation dite objective). De même, lorsque des conditions générales sont incorporées à un contrat innommé, on doit les interpréter et considérer leur validité selon les mêmes principes que pour les contrats nommés (PICHONNAZ, Les contrats innommés : quelques questions récurrentes, in La pratique contractuelle : actualité et perspectives, 2009, p. 32, 33 et 35).</w:t>
      </w:r>
    </w:p>
    <w:p>
      <w:r>
        <w:rPr>
          <w:b/>
        </w:rPr>
        <w:t>E. 2.3</w:t>
      </w:r>
    </w:p>
    <w:p>
      <w:r>
        <w:t>De jurisprudence constante, le Tribunal fédéral considère que le mandat, quel que soit son objet, est un contrat que les deux parties ont le droit impératif de résilier en tout temps. Il en déduit que toute stipulation sur la durée du contrat est sans effet. La résiliation en temps inopportun donne certes le droit à une indemnité, mais celle-ci ne peut porter que sur l'intérêt (négatif) que la partie qui subit la résiliation avait à ne pas conclure le contrat. Les parties ne peuvent convenir de la réparation de l'intérêt (positif) du créancier à l'exécution du contrat pas plus qu'elles ne sauraient stipuler une peine conventionnelle pour sanctionner la résiliation prématurée. D'après le Tribunal fédéral, ces règles s'appliquent à tous les mandats, même ceux tenus pour atypiques (art. 404 CO; WERRO/TOLOU, Le contrat de mandat : quoi de neuf ?, in La pratique contractuelle 4, 2015, p. 27).</w:t>
      </w:r>
    </w:p>
    <w:p>
      <w:r>
        <w:rPr>
          <w:b/>
        </w:rPr>
        <w:t>E. 2.4</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JT 1969 II 32).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 Dans le contexte de la mainlevée définitive, le Tribunal fédéral a précisé qu'il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w:t>
      </w:r>
    </w:p>
    <w:p>
      <w:r>
        <w:rPr>
          <w:b/>
        </w:rPr>
        <w:t>E. 2.5</w:t>
      </w:r>
    </w:p>
    <w:p>
      <w:r>
        <w:t>En l'espèce, le contrat du 8 juin 2011, dont font partie intégrante les conditions générales de la recourante, ne correspond à aucun contrat type réglementé par la loi. Il semble toutefois comporter pour le moins des éléments du contrat de mandat et, en dépit des stipulations des parties, des éléments du contrat de bail.</w:t>
      </w:r>
    </w:p>
    <w:p>
      <w:r>
        <w:t>- 9/10 -</w:t>
      </w:r>
    </w:p>
    <w:p>
      <w:r>
        <w:t>C/10947/2016 Pour déterminer quelles dispositions s'appliquent à la résiliation de la convention en question, il est nécessaire de rechercher la réelle et commune intention des parties, le cas échéant, de procéder à une interprétation selon le principe de la confiance. Il résulte des principes résumés sous consid. 2.2 et 2.3 ci-dessus que la cause pose des questions de droit matériel délicates. Comme indiqué, il n'appartient pas au juge de la mainlevée provisoire d'interpréter des contrats lorsque la situation juridique n'est pas claire. Dans la mesure où l'interprétation du contrat invoquée par la recourante comme titre de mainlevée est source de doutes, c'est à raison que le Tribunal a refusé la mainlevée provisoire. Les considérations qui précèdent suffisent à sceller le sort du recours, de sorte qu'il est superflu d'examiner les autres griefs de la recourante. Ainsi, le recours sera rejeté.</w:t>
      </w:r>
    </w:p>
    <w:p>
      <w:r>
        <w:rPr>
          <w:b/>
        </w:rPr>
        <w:t>E. 3</w:t>
      </w:r>
    </w:p>
    <w:p>
      <w:r>
        <w:t>Le recours étant infondé, la recourante sera condamnée à en supporter les frais (art. 95 et 106 al. 1 CPC). Les frais judicaires du recours seront arrêtés à 600 fr. (art. 48 et 61 OELP), montant correspondant à l'avance de frais versée par la recourante, qui demeure acquise à l'Etat de Genève (art. 111 al. 1 CPC). La recourante sera également condamnée aux dépens de l'intimée, arrêtés à 500 fr., débours et TVA compris (art. 96 et 105 al. 2 CPC; art. 85, 89 et 90 RTFMC; art. 23, 25 et 26 LaCC). * * * * *</w:t>
      </w:r>
    </w:p>
    <w:p>
      <w:r>
        <w:t>- 10/10 -</w:t>
      </w:r>
    </w:p>
    <w:p>
      <w:r>
        <w:t>C/10947/2016 PAR CES MOTIFS, La Chambre civile : A la forme : Déclare recevable le recours interjeté le 21 octobre 2016 par A______ SA contre le jugement JTPI/12523/2016 rendu le 7 octobre 2016 par le Tribunal de première instance dans la cause C/10947/2016-18 SML. Au fond : Le rejette. Déboute les parties de toutes autres conclusions. Sur les frais : Arrête les frais judiciaires du recours à 600 fr., les met à la charge d'A______ SA et les compense avec l'avance fournie, laquelle reste acquise à l'Etat de Genève. Condamne A______ SA à verser à B______ SA, la somme de 500 fr. à titre de dépens. Siégeant : Madame Sylvie DROIN, présidente; Madame Nathalie LANDRY-BARTHE et Monsieur Ivo BUETTI, juges; Monsieur David VAZQUEZ, commis-greffier. La présidente : Sylvie DROIN</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