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ACJC/203/2022 vom 11. Februar 2022</w:t>
      </w:r>
    </w:p>
    <w:p>
      <w:r>
        <w:t>GE Cour de justice, 2022-02-11, FR</w:t>
      </w:r>
    </w:p>
    <w:p>
      <w:r>
        <w:rPr>
          <w:b/>
        </w:rPr>
        <w:t xml:space="preserve">Quelle: </w:t>
      </w:r>
      <w:r>
        <w:t>https://mcp.opencaselaw.ch/entscheid/ge_gerichte_ACJC_203_2022</w:t>
      </w:r>
    </w:p>
    <w:p>
      <w:r>
        <w:t>FR: GE_GERICHTE ACJC/203/2022 du 11 février 2022</w:t>
      </w:r>
    </w:p>
    <w:p>
      <w:r>
        <w:t>IT: GE_GERICHTE ACJC/203/2022 del 11 febbraio 2022</w:t>
      </w:r>
    </w:p>
    <w:p>
      <w:pPr>
        <w:pStyle w:val="Heading2"/>
      </w:pPr>
      <w:r>
        <w:t>Erwägungen</w:t>
      </w:r>
    </w:p>
    <w:p>
      <w:r>
        <w:rPr>
          <w:b/>
        </w:rPr>
        <w:t>E. 28</w:t>
      </w:r>
    </w:p>
    <w:p>
      <w:r>
        <w:t>août 2012, consid. 3.1; ATF 140 III 289, consid. 1.1); Que l'appel a été déposé dans le délai et selon la forme prévue par la loi de sorte qu'il est recevable (art. 314 al. 1 CPC); Qu'au stade de la requête et de l'ordonnance sur mesures superprovisionnelles, la procédure est unilatérale et le cité n'est pas entendu (art. 265 al. 1 CPC); Que dans le cadre de l'appel contre l'ordonnance refusant les mesures superprovisionnelles, il n'y a pas lieu d'interpeller la partie visée par la mesure, ce qui ne constitue pas une violation de son droit d'être entendue (ATF 107 III 29 consid. 2 et 3; arrêt du Tribunal fédéral 5A_344/2010 du 8 juin 2010 consid. 5, in RSPC 2010 p. 400, et 5A_279/2010 du 24 juin 2010 consid. 4 en matière de refus de séquestre); Qu'à teneur de l'art. 265 al. 1 CPC, en cas d'urgence particulière, notamment s'il y a risque d'entrave à leur exécution, le tribunal peut ordonner des mesures provisionnelles immédiatement sans entendre la partie adverse;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code de procédure civile suisse, in FF 2006 p. 6841 ss, spéc. 6961; arrêts du Tribunal fédéral 5A_931/2014 du 1er mai 2015 consid. 4; 5A_791/2008 du 10 juin 2009 consid. 3.1; BOHNET, Code de procédure civile commenté, 2ème éd., 2019, n. 3 ss ad art. 261 CPC); Que dans le cadre des mesures provisionnelles, le juge peut se limiter à la vraisemblance des faits et à l'examen sommaire du droit, en se fondant sur les moyens de preuve immédiatement disponibles (ATF 139 III 86 consid. 4.2; 131 III 473 consid. 2.3); que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t>- 5/8 -</w:t>
      </w:r>
    </w:p>
    <w:p>
      <w:r>
        <w:t>C/1010/2022 Que le requérant doit rendre vraisemblable que le droit matériel invoqué existe et que le procès a des chances de succès, la mesure provisionnelle ne pouvant être accordée que dans la perspective de l'action au fond, qui doit la valider (art. 263 et 268 al. 2 CPC); Que concernant la vraisemblance qu'un danger imminent menace le droit du requérant, ainsi que la vraisemblance d'un préjudice difficilement réparable,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qu'en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qu'il s'agit d'éviter d'être mis devant un fait accompli dont le jugement ne pourrait pas complètement supprimer les effets (arrêt du Tribunal fédéral 4A_611/2011 du 3 janvier 2012 consid. 4.1); Qu'à teneur de la jurisprudence du Tribunal fédéral, par exception à l'absence de voie de droit contre les mesures superpvrovisionnelles, un recours est ouvert contre le refus à titre superprovisoire, de l'inscription d'une hypothèque légale des artisans et entrepreneurs, dès lors qu’à défaut, la prétention est menacée de péremption (ATF 140 III 289 consid. 1.1, in JdT 2015 II 151); Qu'aux termes de l'art. 837 al. 1 ch. 3 CC - dans sa teneur en vigueur depuis le 1er janvier 2012 (RO 2011 4637) -, les artisans et entrepreneurs (ou les sous-traitants;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que l'inscription peut être requise dès le moment de la conclusion du contrat (art. 839 al. 1 CC) et doit être obtenue, à savoir opérée au registre foncier au plus tard dans les quatre mois qui suivent l'achèvement des travaux (art. 839 al. 2 CC); qu'il s'agit d'un délai de péremption (ATF 126 III 462 consid. 2c/aa, avec les références), qui peut être sauvegardé par l'annotation d'une inscription provisoire (art. 48 al. 2 let. b et 76 al. 3 ORF; arrêt du Tribunal fédéral 5A_420/2014 du 27 novembre 2014 consid. 3.1); Qu'il y a achèvement des travaux, au sens de l'art. 839 al. 2 CC, quand tous les travaux qui constituent l'objet du contrat d'entreprise ont été exécutés et que l'ouvrage est livrable; que ne sont considérés comme travaux d'achèvement que</w:t>
      </w:r>
    </w:p>
    <w:p>
      <w:r>
        <w:t>- 6/8 -</w:t>
      </w:r>
    </w:p>
    <w:p>
      <w:r>
        <w:t>C/1010/2022 ceux qui doivent être exécutés en vertu du contrat d'entreprise et du descriptif, non les prestations commandées en surplus sans qu'on puisse les considérer comme entrant dans le cadre élargi du contrat; que des travaux de peu d'importance ou accessoires, différés intentionnellement par l'artisan ou l'entrepreneur, ou bien encore des retouches (remplacement de parties livrées mais défectueuses, correction de quelque autre défaut) ne constituent pas des travaux d'achèvement; que les travaux effectués par l'entrepreneur en exécution de l'obligation de garantie prévue à l'art. 368 al. 2 CO n'entrent pas non plus en ligne de compte pour la computation du délai (ATF 106 II 22 consid. 2b; 102 II 206 consid. 1a); Qu'en revanche, lorsque des travaux indispensables, même d'importance secondaire, n'ont pas été exécutés, l'ouvrage ne peut pas être considéré comme achevé; que des travaux nécessaires, notamment pour des raisons de sécurité, même de peu d'importance, constituent donc des travaux d'achèvement; que les travaux sont ainsi jugés selon un point de vue qualitatif plutôt que quantitatif; Que le délai de l'art. 839 al. 2 CC commence à courir dès l'achèvement des travaux, et non pas dès l'établissement de la facture; qu'il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5A_282/2016 consid. 4.1); Que lorsque, avant l'achèvement des travaux, ceux-ci sont retirés à l'entrepreneur, c'est la date de ce retrait qui constitue le point de départ du délai (arrêts du Tribunal fédéral, 5D_116/2014 du 13 octobre  2014, consid. 5.2.2 ; 5A_682/2010, du 24 octobre 2011, consid. 4.1 ; ATF 120 II 389; 102 II 206; ATF 39 II 205, JdT 1914 I 77 ; ATF 102 II 206); Que selon l'art. 961 al. 3 CC, le juge statue - en procédure sommaire (art. 249 let. d ch. 5 CPC) - sur la requête et autorise l'inscription provisoire si le droit allégué lui paraît exister; que vu la brièveté et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Qu'en l'espèce, il est vraisemblable que l'appelante a réalisé des travaux dans la villa de l'intimé et il ne peut être exclu qu'elle détient à l'encontre de ce dernier une créance en 15'419 fr. 20; Que l'appelante soutient que, dans la mesure où elle n'a pas pu achever ces travaux, ceux-ci lui ayant été retirés à l'issue de la séance du 28 septembre 2021, le délai pour requérir l'inscription a commencé à courrier dès ce moment-là;</w:t>
      </w:r>
    </w:p>
    <w:p>
      <w:r>
        <w:t>- 7/8 -</w:t>
      </w:r>
    </w:p>
    <w:p>
      <w:r>
        <w:t>C/1010/2022 Qu'à la suivre le délai est ainsi venu à échéance le 28 janvier 2022; que l'inscription provisoire n'ayant pas été opérée à ce jour, l'appel doit être rejeté, le droit de l'appelante étant périmé; qu'en effet il ne suffit pas que la requête soit déposée dans le délai; que, même si elle était ordonnée par la Cour, l'inscription interviendrait au plus tôt le jour du prononcé de l'arrêt rendu à titre superprovisionnel, soit postérieurement à l'échéance du délai de l'art. 839 al. 2 CC; Que l'appelante a pris des conclusions superprovisionnelles devant la Cour, puis provisionnelles, après audition de parties; qu'il ne revient pas à la Cour d'entendre l'intimé, avant que le Tribunal ne l'ait fait; que la présente décision ne sera en conséquence qu'à titre superprovisionnel; Qu'au vu de ce qui précède l'appel sera rejeté; Que l'appelante, qui succombe, sera condamnée aux frais de l'appel, arrêtés à 1'000 fr., et compensés avec l'avance fournie, acquise à l'Etat; Qu'il n'y a pas lieu à l'allocation de dépens, l'intimé n'ayant pas été invité à se prononcer. * * * * *</w:t>
      </w:r>
    </w:p>
    <w:p>
      <w:r>
        <w:t>- 8/8 -</w:t>
      </w:r>
    </w:p>
    <w:p>
      <w:r>
        <w:t>C/1010/2022 PAR CES MOTIFS, La Chambre civile : A la forme : Déclare recevable l'appel interjeté par A______ SÀRL contre l'ordonnance OTPI/27/22 rendue le 24 janvier 2022 par le Tribunal de première instance dans la cause C/1010/2022–4 SP. Au fond : Le rejette. Confirme l'ordonnance entreprise. Sur les frais : Arrête les frais de l'appel à 1'000 fr., les met à la charge de A______ SÀRL et dit qu'ils sont compensés avec l'avance fournie, acquise à l'Etat de Genève. Siégeant : Madame Pauline ERARD, présidente; Madame Mélanie DE RESENDE,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