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ACJC/203/2015 vom 27. Februar 2015</w:t>
      </w:r>
    </w:p>
    <w:p>
      <w:r>
        <w:t>GE Cour de justice, 2015-02-27, FR</w:t>
      </w:r>
    </w:p>
    <w:p>
      <w:r>
        <w:rPr>
          <w:b/>
        </w:rPr>
        <w:t xml:space="preserve">Quelle: </w:t>
      </w:r>
      <w:r>
        <w:t>https://mcp.opencaselaw.ch/entscheid/ge_gerichte_ACJC_203_2015</w:t>
      </w:r>
    </w:p>
    <w:p>
      <w:r>
        <w:t>FR: GE_GERICHTE ACJC/203/2015 du 27 février 2015</w:t>
      </w:r>
    </w:p>
    <w:p>
      <w:r>
        <w:t>IT: GE_GERICHTE ACJC/203/2015 del 27 febbraio 2015</w:t>
      </w:r>
    </w:p>
    <w:p>
      <w:pPr>
        <w:pStyle w:val="Heading2"/>
      </w:pPr>
      <w:r>
        <w:t>Erwägungen</w:t>
      </w:r>
    </w:p>
    <w:p>
      <w:r>
        <w:rPr>
          <w:b/>
        </w:rPr>
        <w:t>E. 1.1</w:t>
      </w:r>
    </w:p>
    <w:p>
      <w:r>
        <w:t>La décision entreprise est une décision finale de première instance modifiant un jugement de divorce. Contre une telle décision, la voie de l'appel est ouverte si l'affaire n'est pas de nature patrimoniale, ou si, patrimoniale, la valeur litigieuse au dernier état des conclusions est de 10'000 fr. au moins (art. 308 al. 1 let. a et al. 2 CPC). Dans le cas d'espèce, le litige porte sur la contribution à l'entretien de l'appelante, de sorte qu'il doit être considéré comme patrimonial (TAPPY, in CPC, Code de procédure civile commenté, 2011 n. 72 ad art. 91 CPC). Le montant déterminant pour fixer la valeur litigieuse est celui encore litigieux entre les parties avant le prononcé du jugement de première instance (SPÜHLER, in Basler Kommentar, Schweizerische Zivilprozessordnung, 2ème ed. 2013, n. 8 ad art. 308 CPC). Lorsque la prétention litigieuse porte sur une prestation périodique de durée indéterminée ou illimitée, le capital déterminant pour la valeur litigieuse correspond au montant annuel de la prestation multiplié par vingt (art. 92 al. 2 CPC). En l'espèce, l'intimé a conclu devant le premier juge à la suppression de la contribution à l'entretien de l'appelante, de 1'000 fr. par mois, de sorte que la valeur litigieuse est supérieure à 10'000 fr (1'000 fr. x 12 x 20 = 240'000 fr.).</w:t>
      </w:r>
    </w:p>
    <w:p>
      <w:r>
        <w:rPr>
          <w:b/>
        </w:rPr>
        <w:t>E. 1.2</w:t>
      </w:r>
    </w:p>
    <w:p>
      <w:r>
        <w:t>Interjeté dans le délai utile de 30 jours suivant la notification du jugement querellé et selon la forme prescrite par la loi (art. 130, 131, 142, 311 al. 1 et al. 2 CPC), l'appel est recevable.</w:t>
      </w:r>
    </w:p>
    <w:p>
      <w:r>
        <w:t>- 5/10 -</w:t>
      </w:r>
    </w:p>
    <w:p>
      <w:r>
        <w:t>C/491/2013</w:t>
      </w:r>
    </w:p>
    <w:p>
      <w:r>
        <w:rPr>
          <w:b/>
        </w:rPr>
        <w:t>E. 1.3</w:t>
      </w:r>
    </w:p>
    <w:p>
      <w:r>
        <w:t>La Cour revoit la cause avec plein pouvoir d'examen (art. 310 CPC). La maxime des débats s'applique, la question litigieuse portant sur la contribution à l'entretien de l'appelante (art. 277 al. 1 CPC).</w:t>
      </w:r>
    </w:p>
    <w:p>
      <w:r>
        <w:rPr>
          <w:b/>
        </w:rPr>
        <w:t>E. 2</w:t>
      </w:r>
    </w:p>
    <w:p>
      <w:r>
        <w:t>L'appelante reproche au Tribunal de ne pas avoir imputé de revenu hypothétique à l'intimé qui a diminué volontairement son revenu. 2.1.1 Selon l'art. 129 al. 1 CC, si la situation du débiteur ou du créancier change notablement et durablement, la rente due à l'ex-épouse peut être diminuée, supprimée ou suspendue pour une durée déterminée. L'application de cette disposition suppose un changement notable, durable et "imprévisible" de la situation financière globale de l'une des parties au moins (arrêt du Tribunal fédéral 5A 241/2010 du 9 novembre 2010 consid. 3.2 in FamPra.ch 2011 p. 193). 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 futures, sont déjà certaines ou fort probables (ATF 138 III 289 consid. 11.1.1; 131 III 189 consid. 2.7.4; arrêts du Tribunal fédéral 5A 93/2011 du 13 septembre 2011 consid. 6.1; 5A 845/2010 du 12 avril 2011 consid. 4.1). La retraite du débirentier fait partie des circonstances prévisibles au moment du prononcé du divorce; un tel événement est donc présumé avoir été pris en considération à l'aide d'un terme. Il entraîne en règle générale la diminution de la contribution d'entretien, puisque la retraite signifie souvent pour le débirentier une diminution du revenu. En revanche, le caractère anticipé de la retraite et l'éventuelle réduction des prestations de prévoyance professionnelle qui en découlerait peuvent être considérés comme imprévisibles si la décision de prendre une telle retraite a été prise ultérieurement au prononcé du divorce. Il s'agira alors dans ce cas d'examiner si un revenu hypothétique supérieur peut être attribué au débirentier au vu de l'état du marché du travail et des circonstances qui l'ont poussé à prendre une telle décision (PICHONNAZ, Commentaire romand, Code civil I, 2010, n. 41 ad art. 129 CC). 2.1.2 Selon la jurisprudence, lorsqu'un conjoint - y compris le créancier de l'entretien (cf. ATF 127 III 136 consid. 2a p. 139) - diminue volontairement son revenu, quel qu'en soit le motif, il doit en principe supporter les conséquences de sa décision (ATF 121 III 297 consid. 3b p. 299; 105 II 166 consid. 2 p. 170). Dans la fixation des contributions d'entretien, le juge peut donc tenir compte des gains antérieurs et imputer au conjoint un revenu hypothétique; toutefois, la prise en considération d'un tel revenu n'est admissible que dans la mesure où celui-ci pourrait le réaliser, en faisant preuve de bonne volonté et en accomplissant l'effort</w:t>
      </w:r>
    </w:p>
    <w:p>
      <w:r>
        <w:t>- 6/10 -</w:t>
      </w:r>
    </w:p>
    <w:p>
      <w:r>
        <w:t>C/491/2013 qu'on peut raisonnablement exiger de lui. Ces conditions doivent être remplies même lorsque l'époux concerné a, auparavant, diminué volontairement son revenu (ATF 128 III 4 consid. 4a p. 4/5; 119 II 314 consid. 4a p. 316; 117 II 16 consid. 1b p. 17; arrêt 5C.94/2003 du 17 juillet 2003 consid. 3, in FamPra.ch 2004 p. 129 et les références). La raison pour laquelle il a renoncé à ses précédentes ressources est en principe sans importance, car la prise en considération d'un revenu hypothétique ne revêt pas un caractère pénal (ATF 128 III 4 consid. 4a p. 5/6 et la jurisprudence citée). Savoir si l'on peut raisonnablement exiger d'une personne une augmentation de son revenu est une question de droit; en revanche, déterminer quel revenu la personne a la possibilité effective de réaliser est une question de fait (ATF 128 III 4 consid. 4c/bb p. 7; 126 III 10 consid. 2b p. 12/13 et arrêt du Tribunal fédéral 5A_290/2010 du 28 octobre 2010 consid. 3.1). 2.1.3 Selon l'art. 12 de l'Ordonnance sur l'assurance-chômage obligatoire et l'indemnité en cas d'insolvabilité (OACI), pour les assurés qui ont été mis à la retraite avant 65 ans, seule est prise en compte, comme période de cotisation, l'activité soumise à cotisation qu'ils ont exercée après leur mise à la retraite, à moins qu'il aient été mis à la retraite anticipée pour des raisons d'ordre économique ou sur la base de réglementations impératives entrant dans le cadre de la prévoyance professionnelle et que leurs prestations de retraite soient inférieures à l'indemnité de chômage à laquelle il ont droit en vertu de l'art. 22 LACI.</w:t>
      </w:r>
    </w:p>
    <w:p>
      <w:r>
        <w:rPr>
          <w:b/>
        </w:rPr>
        <w:t>E. 2.2</w:t>
      </w:r>
    </w:p>
    <w:p>
      <w:r>
        <w:t>En l'espèce, l'appelante ne conteste pas une modification notable et durable de la situation. Elle remet uniquement en cause la décision du Tribunal de ne pas avoir imputé un revenu hypothétique à l'intimé. Celui-ci a volontairement pris une retraite anticipée en alléguant n'être plus en mesure de maintenir ses qualifications de vendeur-guichetier aux D______. Il n'est dès lors pas contestable que l'intimé a volontairement diminué son revenu. En effet, il n'a subi aucune pression qui l'aurait mené à prendre cette décision dont les motifs n'ont d'ailleurs pas été prouvés. S'il avait perdu son emploi, il aurait bénéficié de l'assurance chômage lui assurant un revenu à hauteur de 70% de son dernier salaire. Ceci lui aurait permis d'obtenir une situation financière bien meilleure que celle qu'il a aujourd'hui et ainsi continuer à verser la contribution d'entretien à son ex-épouse. Du fait de sa décision unilatérale, il ne peut aujourd'hui plus bénéficier de l'assurance-chômage pour un montant aussi haut. Vu ce qui précède, l'intimé pourrait donc raisonnablement se voir imputer un revenu hypothétique. La conclusion de l'appelante, qui demande qu'un revenu hypothétique de 5000 fr. net correspondant au dernier travail de l'intimé à un taux de 100% lui soit imputé, ne peut être entièrement suivie. En effet, la probabilité qu'il retrouve un poste à ce taux horaire avec un salaire équivalent est minime. Cependant, la Cour constate que l'intimé est âgé de 60 ans, qu'il est en bonne santé et qu'il possède une bonne expérience de vendeur (guichetier). Le critère de l'âge ne peut à lui seul permettre de le déclarer inapte à tout travail. Aussi, vu la situation du marché du travail à</w:t>
      </w:r>
    </w:p>
    <w:p>
      <w:r>
        <w:t>- 7/10 -</w:t>
      </w:r>
    </w:p>
    <w:p>
      <w:r>
        <w:t>C/491/2013 Genève, somme toute ouverte dans le domaine de la vente, la situation concrète de l'intimé et son expérience dans ce domaine, la Cour considère qu'il peut être raisonnablement exigé de sa part de travailler à raison d'un minimum de huit heures par semaine. Ce nombre réduit d'heures de travail prend en compte son âge proche de la retraite et permet également une flexibilité dans la recherche d'emploi. En utilisant le calculateur de salaire en ligne pour le canton de Genève, publié par l'Observatoire genevois du marché du travail (http://cms2.unige.ch/ ses/lea/oue/projet/ salaires/ogmt/index.php), il apparaît qu'une personne possédant un profil semblable à l'intimé (naissance en 1954, formation n'excédant pas la scolarité obligatoire, sans ancienneté, sans fonction de cadre, tâches simples et répétitives, domaine de la vente au détail, 8 heures par semaine) peut percevoir un salaire mensuel brut de 786 fr., soit approximativement 737 fr. net. La Cour retiendra par conséquent un revenu hypothétique équivalent à ce montant pour l'intimé. Son revenu déterminant pour fixer le montant de la contribution s'élève ainsi à 2'314 fr. (1577 fr. + 737 fr.) et sa quotité disponible à 548 fr. (2314 fr. – 1766 fr.). La moitié de la quotité mensuelle disponible de l'intimé, soit 275 fr., sera attribuée à l'appelante à titre de contribution à son entretien. Ce montant sera suffisant à couvrir le minimum vital de cette dernière qui vit pour la plupart du temps en Espagne. Elle n'a en effet pas démontré qu'elle vivait la moitié de l'année en Suisse. Elle n'allègue d'ailleurs à cet égard aucune charge de loyer en Suisse. L'intimé sera donc condamné à verser à son ex-épouse la somme de 275 fr. par mois à partir du 1er décembre 2012, date de la modification de la situation et jusqu'à ce qu'il atteigne l'âge de 65 ans révolus. Le montant de 7'000 fr. correspondant aux contributions d'entretien versées par l'intimé à l'appelante durant la procédure, sera imputé sur les montants dus par ledit intimé.</w:t>
      </w:r>
    </w:p>
    <w:p>
      <w:r>
        <w:rPr>
          <w:b/>
        </w:rPr>
        <w:t>E. 3</w:t>
      </w:r>
    </w:p>
    <w:p>
      <w:r>
        <w:t>Les frais judiciaires de la présente décision seront fixés à 1000 fr. (art. 30 et 35 du Règlement fixant le tarif des frais en matière civile [RTFMC – E 1 05.10]). Vu la nature et l'issue du litige, ils seront mis pour moitié à la charge de chacune des parties (art. 107 al. 1 let. c CPC). L'intimé sera dès lors condamné au paiement du montant de 500 fr. aux services financiers du Pouvoir judiciaire. Le montant de 500 fr. mis à la charge de l'appelante sera provisoirement supporté par l'Etat, celle-ci plaidant au bénéfice de l'assistance judiciaire (art. 122 al. 1 let. b, 123 CPC et 19 RAJ).</w:t>
      </w:r>
    </w:p>
    <w:p>
      <w:r>
        <w:t>- 8/10 -</w:t>
      </w:r>
    </w:p>
    <w:p>
      <w:r>
        <w:t>C/491/2013 Il sera rappelé que les bénéficiaires de l'assistance judiciaire sont tenus au remboursement des frais judiciaires mis à la charge de l'Etat dans la mesure de l'art. 123 CPC. Vu la nature et l'issue du litige, chacune des parties conservera à sa charge ses propres dépens (art. 107 al. 1 let. c CPC).</w:t>
      </w:r>
    </w:p>
    <w:p>
      <w:r>
        <w:rPr>
          <w:b/>
        </w:rPr>
        <w:t>E. 4</w:t>
      </w:r>
    </w:p>
    <w:p>
      <w:r>
        <w:t>La valeur litigieuse est supérieure à 30'000 fr. (art. 51 al. 4 LTF). * * * * *</w:t>
      </w:r>
    </w:p>
    <w:p>
      <w:r>
        <w:t>- 9/10 -</w:t>
      </w:r>
    </w:p>
    <w:p>
      <w:r>
        <w:t>C/491/2013 PAR CES MOTIFS, La Chambre civile : A la forme : Déclare recevable l'appel interjeté le 3 juillet 2014 par A______ contre le jugement JTPI/6870/2014 rendu le 30 mai 2014 par le Tribunal de première instance dans la cause C/491/2013-16. Au fond : Annule les chiffres 2 et 3 du jugement entrepris. Cela fait, statuant à nouveau : Condamne C______ à payer à A______, par mois et d'avance, la somme de 275 fr. à titre de contribution à son entretien à partir du 1er décembre 2012 et jusqu'au 31 octobre 2019, sous imputation du montant de 7'000 fr. d'ores et déjà payé. Déboute les parties de toutes autres conclusions. Sur les frais : Arrête les frais judiciaires d'appel à 1'000 fr. et les met à la charge des parties pour moitié chacune. Condamne en conséquence C______ à verser 500 fr. aux Services financiers du Pouvoir judiciaire. Dit que les frais à la charge de A______ sont provisoirement supportés par l'Etat de Genève. Dit que chaque partie supportera ses propres dépens. Siégeant : Madame Valérie LAEMMEL-JUILLARD, présidente; Madame Nathalie LANDRY-BARTHE et Monsieur Patrick CHENAUX, juges; Madame Audrey MARASCO, greffière. La présidente : Valérie LAEMMEL-JUILLARD</w:t>
      </w:r>
    </w:p>
    <w:p>
      <w:r>
        <w:t>La greffière : Audrey MARASCO</w:t>
      </w:r>
    </w:p>
    <w:p>
      <w:r>
        <w:t>- 10/10 -</w:t>
      </w:r>
    </w:p>
    <w:p>
      <w:r>
        <w:t>C/491/2013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