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ACJC/201/2019 vom 26. Februar 2019</w:t>
      </w:r>
    </w:p>
    <w:p>
      <w:r>
        <w:t>GE Cour de justice, 2019-02-26, FR</w:t>
      </w:r>
    </w:p>
    <w:p>
      <w:r>
        <w:rPr>
          <w:b/>
        </w:rPr>
        <w:t xml:space="preserve">Quelle: </w:t>
      </w:r>
      <w:r>
        <w:t>https://mcp.opencaselaw.ch/entscheid/ge_gerichte_ACJC_201_2019</w:t>
      </w:r>
    </w:p>
    <w:p>
      <w:r>
        <w:t>FR: GE_GERICHTE ACJC/201/2019 du 26 février 2019</w:t>
      </w:r>
    </w:p>
    <w:p>
      <w:r>
        <w:t>IT: GE_GERICHTE ACJC/201/2019 del 26 febbraio 2019</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recours de dix jours de l'art. 321 al. 2 CPC (art. 319 let. b ch. 1 CPC; TAPPY in CPC Code de procédure civile commenté, Bohnet/Haldy/Jeandin/Schweizer/ Tappy [éd.], 2011 CPC, n. 4 et 11 ad art. 103 CPC; SUTER/VON HOLZEN, in Kommentar zur Schweizerischen Zivilprozessordnung [ZPO], Sutter-Somm/ Hasenböhler/Leuenberger [éd.], éd. 2016, n. 14 ad art. 99 CPC et n. 8 ad art. 103 CPC).</w:t>
      </w:r>
    </w:p>
    <w:p>
      <w:r>
        <w:t>En l'espèce, le recours a été formé dans les délai et forme prescrits par la loi (art. 321 al. 1 et 142 al. 3 CPC), de sorte qu'il est recevable.</w:t>
      </w:r>
    </w:p>
    <w:p>
      <w:r>
        <w:rPr>
          <w:b/>
        </w:rPr>
        <w:t>E. 1.2</w:t>
      </w:r>
    </w:p>
    <w:p>
      <w:r>
        <w:t>Le recours est recevable pour violation du droit et constatation manifestement inexacte des faits (art. 320 CPC).</w:t>
      </w:r>
    </w:p>
    <w:p>
      <w:r>
        <w:t>L'autorité de recours a un plein pouvoir d'examen en droit, mais un pouvoir limité à l'arbitraire en fait, n'examinant par ailleurs que les griefs formulés et motivés par le recourant (HOHL, Procédure civile, Tome II, 2ème éd., Berne 2010, n. 2307). Si la violation du droit invoquée concerne une décision relevant du pouvoir d'appréciation du juge, l'autorité de recours doit faire preuve d'une certaine retenue (arrêt du Tribunal fédéral 5A_265/2012 du 30 mai 2012 consid. 4.3.2).</w:t>
      </w:r>
    </w:p>
    <w:p>
      <w:r>
        <w:t>La nature du procès en constitution de sûretés, qui exige une décision rapide, commande de lui appliquer la procédure sommaire, au moins par analogie, même</w:t>
      </w:r>
    </w:p>
    <w:p>
      <w:r>
        <w:t>- 6/9 -</w:t>
      </w:r>
    </w:p>
    <w:p>
      <w:r>
        <w:t>C/16031/2017 si elle ne figure pas parmi les cas d'application de cette procédure désignés par la loi (OGer/BE du 25 août 2014 (ZK 14 262) consid. 1.1 et 1.2; TAPPY, op. cit., n. 13 ad art. 101 LP).</w:t>
      </w:r>
    </w:p>
    <w:p>
      <w:r>
        <w:rPr>
          <w:b/>
        </w:rPr>
        <w:t>E. 2</w:t>
      </w:r>
    </w:p>
    <w:p>
      <w:r>
        <w:t>La recourante fait grief au Tribunal d'avoir violé son droit d'être entendue en examinant sa requête uniquement à l'aune de l'art. 99 al. 1 let. b CPC et non pas de l'art. 99 al. 1 let. c ou d CPC, seuls invoqués.</w:t>
      </w:r>
    </w:p>
    <w:p>
      <w:r>
        <w:t>2.1.1 A teneur de l'article 99 al. 1 CPC, le demandeur doit, sur requête du défendeur, fournir dans les cas suivants des sûretés en garantie du paiement des dépens: il paraît insolvable, notamment en raison d’une mise en faillite, d’une procédure concordataire en cours ou de la délivrance d’actes de défaut de biens (let. b) ou il est débiteur de frais d’une procédure antérieure (let. c) ou d’autres raisons font apparaître un risque considérable que les dépens ne soient pas versés (let. d).</w:t>
      </w:r>
    </w:p>
    <w:p>
      <w:r>
        <w:t>L'art. 99 al. 1 let c CPC vise aussi bien une procédure antérieure entre les mêmes parties au sujet de la même prétention, qu'un procès différent entre lesdites parties, voire un procès opposant le demandeur à d'autres parties ou à l'Etat (TAPPY, op. cit., n° 36 ad art. 99 CPC; SUTER/VON HOLZEN, op. cit., n° 32 ad art. 99 CPC). Les frais concernés doivent être exigibles (SUTER/VON HOLZEN, op. cit., n° 32 ad art. 99 CPC); en d'autres termes, la décision y relative doit être entrée en force et exécutoire (URWYLER, in Schweizerische Zivilprozessordnung [ZPO], Brunner/Gasser/Schwander [éd.], 2011, n° 12 ad art. 99 CPC). Selon certains auteurs, il suffit que le débiteur fasse preuve d'une absence de volonté de payer, par exemple en ne payant pas à l'échéance du délai imparti (TAPPY, op. cit., n° 35 ad art. 99 CPC).</w:t>
      </w:r>
    </w:p>
    <w:p>
      <w:r>
        <w:t>Dans tous les cas, la dette de frais doit être encore impayée au moment de la décision sur la prestation de sûretés (arrêt du Tribunal fédéral 5A_916/2016 du</w:t>
      </w:r>
    </w:p>
    <w:p>
      <w:r>
        <w:rPr>
          <w:b/>
        </w:rPr>
        <w:t>E. 2.2</w:t>
      </w:r>
    </w:p>
    <w:p>
      <w:r>
        <w:t>En l'espèce, la recourante a fondé sa requête de sûretés notamment sur la lettre c de l'art. 99 al. 1 CPC, faisant valoir que l'intimée était débitrice de dépens dans une procédure antérieure. Or, le premier juge n'a pas du tout examiné ce point. Ce faisant, il a violé le droit d'être entendue de la recourante. La mention que l'objection de compensation était insuffisante à déduire l'insolvabilité de l'intimée ne suffit pas à considérer que le juge a examiné si les conditions posées par l'art. 99 al. 1 let. c. étaient réalisées.</w:t>
      </w:r>
    </w:p>
    <w:p>
      <w:r>
        <w:t>Conformément à la jurisprudence précitée, cette violation doit conduire à l'annulation de la décision attaquée et au renvoi de la cause au Tribunal pour nouvelle décision sur la requête de sûretés. En effet, dans la mesure où la Cour ne dispose que d'un pouvoir d'examen restreint à la violation du droit et à la constatation manifestement inexacte des faits, ainsi que pour respecter le principe du double degré de juridiction, la violation du droit d'être entendue de la recourante ne peut pas être réparée dans le cadre du présent recours.</w:t>
      </w:r>
    </w:p>
    <w:p>
      <w:r>
        <w:t>Compte tenu de ce qui précède, peut rester indécis le point de savoir si la motivation du Tribunal relève uniquement de l'art. 99 al. 1 let. b CPC, comme indiqué, ou si elle vise également implicitement l'art. 99 al. 1 let. d CPC (risque considérable que les dépens ne soient pas versés).</w:t>
      </w:r>
    </w:p>
    <w:p>
      <w:r>
        <w:t>- 8/9 -</w:t>
      </w:r>
    </w:p>
    <w:p>
      <w:r>
        <w:t>C/16031/2017 3. Les frais judiciaires du recours, y compris ceux relatifs à la décision sur mesures provisionnelles, seront arrêtés à 600 fr. (art. 41 RTFMC) et mis à la charge de B______ LDA, qui succombe (art. 106 al. 1 CPC). Ces frais seront compensés avec l'avance de frais de 600 fr. effectuée par la recourante, qui reste acquise à l'Etat de Genève. L'intimée devra par conséquent rembourser le montant de 600 fr. à la recourante (art. 111 al. 2 CPC).</w:t>
      </w:r>
    </w:p>
    <w:p>
      <w:r>
        <w:t>L'intimée sera également condamnée à verser à la recourante un montant de 1'000 fr., débours et TVA compris, au titre des dépens (art. 87, 88 et 90 RTFMC; art. 23, 25 et 26 LaCC). * * * * *</w:t>
      </w:r>
    </w:p>
    <w:p>
      <w:r>
        <w:t>- 9/9 -</w:t>
      </w:r>
    </w:p>
    <w:p>
      <w:r>
        <w:t>C/16031/2017 PAR CES MOTIFS, La Chambre civile : A la forme : Déclare recevable le recours formé par A______ SA contre l'ordonnance OTPI/556/2018 rendue le 14 septembre 2018 par le Tribunal de première instance dans la cause C/16031/2017-14. Au fond : Annule cette ordonnance et, cela fait : Renvoie la cause au Tribunal de première instance pour nouvelle décision dans le sens des considérants. Sur les frais : Arrête les frais judiciaires du recours à 600 fr. et les met à la charge de B______ LDA. Dit qu'ils sont compensés avec l'avance de frais de 600 fr. fournie par A______ SA, laquelle reste acquise à l'Etat de Genève. Condamne B______ LDA à verser à A______ SA 600 fr. au titre des frais judiciaires. Condamne B______ LDA à verser à A______ SA 1'000 fr. au titre de dépens du recours.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juillet 2017).</w:t>
      </w:r>
    </w:p>
    <w:p>
      <w:r>
        <w:t>Dans un arrêt 2______ du ______ 2014 (c. 2 et E.3.3), E______ du canton de Berne a retenu que si la compensation de la dette de dépens avec la créance contestée, objet de la demande, était admise, le résultat de la procédure serait anticipé et l'obligation de verser les sûretés vidée de son sens; il s'agit bien, précisément, de garantir les propres frais de procès de la partie défenderesse en cas de gain du procès, de sorte qu'elle ne doive pas s'engager dans une procédure face à une partie adverse chez laquelle un motif de sûretés est réalisé. L'exception de compensation doit être rejetée. 2.1.2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w:t>
      </w:r>
    </w:p>
    <w:p>
      <w:r>
        <w:t>- 7/9 -</w:t>
      </w:r>
    </w:p>
    <w:p>
      <w:r>
        <w:t>C/16031/2017 fondé sa décision. Il n'est pas tenu de discuter tous les arguments soulevés par les parties, mais peut se limiter à ceux qui lui apparaissent pertinents (ATF 137 II 266 consid. 3.2; 136 I 229 consid. 5.2).</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