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ACJC/197/2023 vom 13. Februar 2023</w:t>
      </w:r>
    </w:p>
    <w:p>
      <w:r>
        <w:t>GE Cour de justice, 2023-02-13, FR</w:t>
      </w:r>
    </w:p>
    <w:p>
      <w:r>
        <w:rPr>
          <w:b/>
        </w:rPr>
        <w:t xml:space="preserve">Quelle: </w:t>
      </w:r>
      <w:r>
        <w:t>https://mcp.opencaselaw.ch/entscheid/ge_gerichte_ACJC_197_2023</w:t>
      </w:r>
    </w:p>
    <w:p>
      <w:r>
        <w:t>FR: GE_GERICHTE ACJC/197/2023 du 13 février 2023</w:t>
      </w:r>
    </w:p>
    <w:p>
      <w:r>
        <w:t>IT: GE_GERICHTE ACJC/197/2023 del 13 febbraio 2023</w:t>
      </w:r>
    </w:p>
    <w:p>
      <w:pPr>
        <w:pStyle w:val="Heading2"/>
      </w:pPr>
      <w:r>
        <w:t>Erwägungen</w:t>
      </w:r>
    </w:p>
    <w:p>
      <w:r>
        <w:rPr>
          <w:b/>
        </w:rPr>
        <w:t>E. 24</w:t>
      </w:r>
    </w:p>
    <w:p>
      <w:r>
        <w:t>février 2017, confirmé par arrêt de la Cour du 9 août 2017, valait titre de mainlevée définitive, quand bien même les montants déjà versés par l'intimé n'étaient pas déterminables à teneur de ces décisions.</w:t>
      </w:r>
    </w:p>
    <w:p>
      <w:r>
        <w:t>3.1.1 Le tribunal n'entre en matière que sur les demandes et les requêtes qui satisfont aux conditions de recevabilité de l'action (art. 59 al. 1 CPC). En</w:t>
      </w:r>
    </w:p>
    <w:p>
      <w:r>
        <w:t>- 7/13 -</w:t>
      </w:r>
    </w:p>
    <w:p>
      <w:r>
        <w:t>C/8383/2021 particulier, le tribunal n'entrera en matière sur la demande que si le litige ne fait pas l'objet d'une décision entrée en force (art. 59 al. 2 let. e CPC).</w:t>
      </w:r>
    </w:p>
    <w:p>
      <w:r>
        <w:t>Une décision a l'autorité de chose jugée (ou la force de chose jugée au sens matériel) lorsqu'elle est obligatoire, c'est-à-dire qu'elle ne peut plus être remise en discussion ni par les parties, ni par les tribunaux. L'autorité de la chose jugée a deux effets. Un effet négatif : le tribunal saisi d'une nouvelle action ne peut pas entrer en matière lorsque l'objet du litige a déjà fait l'objet d'une décision ayant l'autorité de chose jugée (art. 59 al. 2 let. e CPC); et un effet positif : tout tribunal saisi d'une autre cause et appelé à statuer à titre préjudiciel sur la question tranchée par la décision ayant l'autorité de chose jugée est lié par le dispositif de celle-ci (HOHL, Procédure civile, Tome I, 2016, n. 2323 ss). 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(ATF 144 III 452 consid. 2.3.2; 142 III 210 consid. 2.1; 140 III 278 consid. 3.3; arrêt du Tribunal fédéral 4A_224/2017 du 27 juin 2017 consid. 2.3.1).</w:t>
      </w:r>
    </w:p>
    <w:p>
      <w:r>
        <w:t>Le Tribunal examine d'office si les conditions de recevabilité sont remplies (art. 60 CPC).</w:t>
      </w:r>
    </w:p>
    <w:p>
      <w:r>
        <w:t>3.1.2 Selon l'art. 336 al. 1 let. a CPC une décision est exécutoire lorsqu'elle est entrée en force et que le tribunal n'a pas suspendu l'exécution (art. 325 al. 2 et 331 al. 2 CPC).</w:t>
      </w:r>
    </w:p>
    <w:p>
      <w:r>
        <w:t>Pour être exécutoire au sens de l'art. 336 CPC, la décision doit décrire l'obligation à exécuter avec une précision suffisante sous l'angle matériel, local et temporel, de façon à ce que le juge chargé de l'exécution n'ait pas à élucider lui-même ces questions (arrêts du Tribunal fédéral 5A_70/2021 du 18 octobre 2021 consid. 4.1; 4A_287/2020 du 24 mars 2021 consid. 2.2; 5A_880/2015 du 3 juin 2016 consid. 2).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(arrêts du Tribunal fédéral 4A_287/2020 du 24 mars 2021 consid. 2.2; 4A_640/2016 du 25 septembre 2017 consid. 2.2 et les références citées).</w:t>
      </w:r>
    </w:p>
    <w:p>
      <w:r>
        <w:t>3.1.3 Les décisions portant sur le versement d'une somme d'argent sont exécutées selon les dispositions de la LP (art. 335 al. 2 CPC).</w:t>
      </w:r>
    </w:p>
    <w:p>
      <w:r>
        <w:t>Selon l'art. 80 al. 1 LP, le créancier qui est au bénéfice d'un jugement exécutoire peut requérir du juge la mainlevée définitive de l'opposition.</w:t>
      </w:r>
    </w:p>
    <w:p>
      <w:r>
        <w:t>- 8/13 -</w:t>
      </w:r>
    </w:p>
    <w:p>
      <w:r>
        <w:t>C/8383/2021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arrêts du Tribunal fédéral 5A_123/2021 du 23 juillet 2021 consid. 4.1.2.1, 5A_276/2020 du 19 août 2020 consid. 5.2.2, in RSPC 2002 p. 590).</w:t>
      </w:r>
    </w:p>
    <w:p>
      <w:r>
        <w:t>Saisi d'une requête de mainlevée définitive à l'appui de laquelle le poursuivant produit un jugement, le juge doit notamment vérifier si la créance en poursuite résulte de cet acte. Il n'a cependant pas à se déterminer sur son existence matérielle ni sur le bien-fondé du jugement la constatant, car cela reviendrait à examiner matériellement l'obligation de payer. Si le jugement est peu clair ou incomplet, il appartient au juge du fond de l'interpréter (ATF 143 III 564 consid. 4.3.2; 138 III 583 consid. 6.1.1; arrêts du Tribunal fédéral 5A_335/2021 du 19 juillet 2022 consid. 3, 5A_123/2021 du 23 juillet 2021 consid. 4.1.2.2). En effet, le juge de la mainlevée n'a ni à revoir ni à interpréter le titre qui lui est soumis (arrêts du Tribunal fédéral 5A_123/2021 du 23 juillet 2021 consid. 4.1.2.2; 5A_416/2019 du 11 octobre 2019 consid. 4.2.1, in SJ 2020 I 102).</w:t>
      </w:r>
    </w:p>
    <w:p>
      <w:r>
        <w:t>Cette limitation du pouvoir d'examen du juge de la mainlevée ne signifie pas que celui-ci doive se fonder exclusivement sur le dispositif du jugement invoqué pour déterminer si le titre vaut titre de mainlevée définitive au sens de l'art. 80 al. 1 LP, notamment s'il est condamnatoire. Il peut aussi se référer aux considérants du jugement; ce n'est que si le sens du dispositif est douteux et que ce doute ne peut être levé à l'examen des motifs que la mainlevée doit être refusée (ATF 143 III 564 consid. 4.3.2; 138 III 583 consid. 6.1.1; 134 III 656 consid. 5.3.2; arrêts du Tribunal fédéral 5A_123/2021 du 23 juillet 2021 consid. 4.1.2.2, 5D_21/2020 du</w:t>
      </w:r>
    </w:p>
    <w:p>
      <w:r>
        <w:rPr>
          <w:b/>
        </w:rPr>
        <w:t>E. 26</w:t>
      </w:r>
    </w:p>
    <w:p>
      <w:r>
        <w:t>mai 2020 consid. 4.1.2 et les références citées). Le juge peut aussi prendre en considération à cette fin d'autres documents, dans la mesure où le jugement y renvoie (ATF 138 III 583 consid. 6.1.1; 135 III 315 consid. 2.3; arrêt du Tribunal fédéral 5A_891/2019 du 5 juin 2020 consid. 4.2 et les références citées).</w:t>
      </w:r>
    </w:p>
    <w:p>
      <w:r>
        <w:t>3.1.4 Selon la jurisprudence, lorsque le dispositif d'un jugement condamne le débiteur au paiement de contributions d'entretien d'un montant déterminé, tout en réservant néanmoins les prestations d'entretien déjà versées, le jugement ne vaut pas titre de mainlevée, faute d'une obligation de payer claire (ATF 138 III 583</w:t>
      </w:r>
    </w:p>
    <w:p>
      <w:r>
        <w:t>- 9/13 -</w:t>
      </w:r>
    </w:p>
    <w:p>
      <w:r>
        <w:t>C/8383/2021 consid. 6.1.1; 135 III 315 consid. 2.4; arrêts du Tribunal fédéral 5A_454/2017 du 17 mai 2018 consid. 5.3; 5A_80/2015 du 10 mai 2016 consid. 3.6; 5A_860/2011 du 11 juin 2012 consid. 6.3).</w:t>
      </w:r>
    </w:p>
    <w:p>
      <w:r>
        <w:t>Il en découle que, si le débirentier prétend avoir déjà versé des prestations d'entretien au crédirentier depuis la séparation,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 135 III 315 consid. 2; arrêts du Tribunal fédéral 5A_454/2017 du 17 mai 2018 consid. 5.3; 5A_860/2011 du 11 juin 2012 consid. 6.3). En effet, le juge aura fixé le montant de la créance d'entretien, mais non pas le montant à payer par le débirentier (ATF 135 III 315 consid. 2.4).</w:t>
      </w:r>
    </w:p>
    <w:p>
      <w:r>
        <w:t>En revanche,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pendant ladite période, ce jugement vaut titre de mainlevée définitive pour le montant total de l'arriéré de pensions, cette dette étant claire et chiffrée (ATF 138 III 583 consid. 6.1.2; arrêts du Tribunal fédéral 5A_454/2017 du 17 mai 2018 consid. 5.3; 5A_780/2015 du 10 mai 2016 consid. 3.6; 5D_201/2013 du 2 avril 2014 consid 4.1). Dans un tel cas,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w:t>
      </w:r>
    </w:p>
    <w:p>
      <w:r>
        <w:t>3.2 En l'espèce, il est constant que l'intimé a été condamné, par jugement sur mesures protectrices du 24 février 2017, confirmé par arrêt de la Cour du 9 août 2017, à verser en mains de l'appelante, par mois et d'avance, allocations familiales non comprises, une contribution à l'entretien de son fils mineur de 3'000 fr. du 21 janvier 2015 au 31 décembre 2016, puis de 5'615 fr. dès le 1er janvier 2017, "sous déduction des montants déjà versés" (ch. 15 et 16 du dispositif), ainsi qu'une contribution à l'entretien de l'appelante de 7'000 fr. du 21 janvier 2015 au</w:t>
      </w:r>
    </w:p>
    <w:p>
      <w:r>
        <w:rPr>
          <w:b/>
        </w:rPr>
        <w:t>E. 31</w:t>
      </w:r>
    </w:p>
    <w:p>
      <w:r>
        <w:t>décembre 2016, puis de 4'385 fr. dès le 1er janvier 2017, "sous déduction des montants déjà versés" (ch. 17 et 18 du dispositif).</w:t>
      </w:r>
    </w:p>
    <w:p>
      <w:r>
        <w:t>- 10/13 -</w:t>
      </w:r>
    </w:p>
    <w:p>
      <w:r>
        <w:t>C/8383/2021</w:t>
      </w:r>
    </w:p>
    <w:p>
      <w:r>
        <w:t>Contrairement à ce qu'a retenu le Tribunal, ce jugement, en tant qu'il condamne l'intimé à contribuer à l'entretien de son fils et de son ex-épouse "sous déduction des montants déjà versés", n'est pas exécutoire et, partant, ne vaut pas titre de mainlevée au sens de l'art. 80 al. 1 LP, dès lors qu'il ne chiffre pas les déductions qui doivent être opérées sur les contributions d'entretien fixées (de surcroît, ces déductions portent sur une période antérieure au prononcé du jugement, de sorte que le juge de la mainlevée ne pourrait quoi qu'il en soit pas en tenir compte en application de l'art. 81 al. 1 LP). En effet, si ce jugement a fixé la quotité des pensions mises à la charge de l'appelant, il n'a en revanche pas arrêté les montants déjà versés par celui-ci qu'il y aurait lieu d'imputer sur les pensions dues. Dans la mesure où le jugement est muet sur cette question, avec pour conséquence qu'une demande en rectification ou en interprétation (art. 334 ss CPC) n'entre pas en considération, les ch. 15 à 18 de son dispositif ne sont pas exécutoires, de sorte qu'une nouvelle demande doit être intentée le cas échéant. Le principe de l'autorité de la chose jugée ne s'y oppose pas, puisqu'une décision non exécutable ne déploie pas d'autorité de chose jugée (cf. supra consid. 3.1.2).</w:t>
      </w:r>
    </w:p>
    <w:p>
      <w:r>
        <w:t>Il est par ailleurs constant que, dans le cadre du procès en divorce, ni le Tribunal ni la Cour n'ont statué au fond sur les arriérés de contributions litigieux, puisque les conclusions de l'appelante y relatives ont été déclarés irrecevables. Le jugement de divorce n'a donc pas autorité de la chose jugée sur ce point.</w:t>
      </w:r>
    </w:p>
    <w:p>
      <w:r>
        <w:t>Il s'ensuit que l'appelante, qui ne dispose pas d'une décision exécutoire au sens de l'art. 336 CPC concernant les arriérés de pensions dus par l'intimé pour la période concernée (i.e. du 21 janvier 2015 au 31 décembre 2017), est fondée à déposer une demande en paiement devant le Tribunal, afin d'obtenir une décision statuant définitivement, avec autorité de la chose jugée, sur le solde de 126'364 fr. 30 qu'elle réclame à ce titre à son ex-époux, tant pour son propre entretien que pour celui de leur fils. Il sera encore relevé que la demande du 2 décembre 2021 n'a pas pour finalité de revoir la quotité des contributions fixée par le juge des mesures protectrices, mais de statuer sur le solde des prétentions de l'appelante, après déduction des montants déjà versés par l'intimé, sur la base de faits qui n'ont été pris en compte ni par le juge des mesures protectrices ni par le juge du divorce. Partant, le Tribunal n'aurait pas dû déclarer la demande en paiement de l'appelante irrecevable, mais entrer en matière sur ladite demande.</w:t>
      </w:r>
    </w:p>
    <w:p>
      <w:r>
        <w:t>L'appel est fondé, de sorte que le ch. 1 du dispositif du jugement attaqué sera annulé, sans qu'il soit nécessaire d'examiner les autres griefs soulevés par l'appelante. 4. 4.1 Selon l'art. 318 al. 1 let. c CPC, l'instance d'appel peut renvoyer la cause à la première instance lorsqu'un élément essentiel de la demande n'a pas été jugé (ch. 1) ou lorsque l'état de fait doit être complété sur des points essentiels (ch. 2).</w:t>
      </w:r>
    </w:p>
    <w:p>
      <w:r>
        <w:t>- 11/13 -</w:t>
      </w:r>
    </w:p>
    <w:p>
      <w:r>
        <w:t>C/8383/2021</w:t>
      </w:r>
    </w:p>
    <w:p>
      <w:r>
        <w:t>En vertu du principe du double degré de juridiction, le tribunal cantonal supérieur ne peut pas trancher un litige avant que le tribunal inférieur n'ait statué (ATF 99 Ia 317 consid. 4a). En effet, le justiciable peut exiger que le cours normal des instances, tel qu'il a été prévu par la loi, soit suivi. L'autorité supérieure n'est donc pas habilitée à se saisir d'un litige qui doit d'abord être tranché par une autorité inférieure (ATF 99 Ia 317 consid. 4a; arrêt du Tribunal fédéral 2C_1016/2018 du 5 juin 2019 consid. 3.4).</w:t>
      </w:r>
    </w:p>
    <w:p>
      <w:r>
        <w:t>4.2 En l'espèce, en déclarant l'action en paiement de l'appelante irrecevable, le premier juge n'est pas entré en matière sur le fond du litige. La cause sera dès lors renvoyée au Tribunal pour qu'il statue sur les prétentions de l'appelante s'agissant des arriérés de pension dus à elle-même et à son fils, pour la période du 21 janvier 2015 au 31 décembre 2017, compte tenu des montants déjà versés par l'intimé, respectivement des montants que celui-ci reconnaît devoir à l'appelante. Dès lors que la cause sera renvoyée au premier juge pour nouvelle décision, il se justifie d'annuler entièrement le jugement entrepris. Le Tribunal sera invité à statuer sur l'ensemble des frais judiciaires et dépens de première instance dans le jugement qu'il rendra au terme de la procédure de renvoi. 5. Vu les circonstances du cas d'espèce, la Cour renoncera à la perception de frais judiciaires d'appel, lesquels seront laissés à la charge de l'Etat de Genève (art. 107 al. 2 CPC).</w:t>
      </w:r>
    </w:p>
    <w:p>
      <w:r>
        <w:t>L'art. 107 al. 2 CPC ne s'appliquant pas en matière de dépens, l'appelante conservera à sa charge ses dépens d'appel (ATF 140 III 385 consid. 4.1). Il ne se justifie pas de condamner l'intimé au paiement de dépens, dès lors qu'il n'est pas à l'origine du jugement entrepris (art. 107 al. 1 let. f CPC). * * * * *</w:t>
      </w:r>
    </w:p>
    <w:p>
      <w:r>
        <w:t>- 12/13 -</w:t>
      </w:r>
    </w:p>
    <w:p>
      <w:r>
        <w:t>C/8383/2021</w:t>
      </w:r>
    </w:p>
    <w:p>
      <w:r>
        <w:t>PAR CES MOTIFS, La Chambre civile : A la forme : Déclare recevable l'appel interjeté le 9 juin 2022 par A______ contre le jugement JTPI/5455/2022 rendu le 6 mai 2022 par le Tribunal de première instance dans la cause C/8383/2021. Au fond : Annule le jugement entrepris. Renvoie la cause au Tribunal de première instance pour nouvelle décision dans le sens des considérants. Déboute les parties de toutes autres conclusions d'appel. Sur les frais : Renonce à la perception de frais judiciaires d'appel. Dit que chaque partie supportera ses propres dépens d'appel. Siégeant : Monsieur Ivo BUETTI, président; Madame Sylvie DROIN,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- 13/13 -</w:t>
      </w:r>
    </w:p>
    <w:p>
      <w:r>
        <w:t>C/8383/2021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