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ACJC/197/2020 vom 30. Januar 2020</w:t>
      </w:r>
    </w:p>
    <w:p>
      <w:r>
        <w:t>GE Cour de justice, 2020-01-30, FR</w:t>
      </w:r>
    </w:p>
    <w:p>
      <w:r>
        <w:rPr>
          <w:b/>
        </w:rPr>
        <w:t xml:space="preserve">Quelle: </w:t>
      </w:r>
      <w:r>
        <w:t>https://mcp.opencaselaw.ch/entscheid/ge_gerichte_ACJC_197_2020</w:t>
      </w:r>
    </w:p>
    <w:p>
      <w:r>
        <w:t>FR: GE_GERICHTE ACJC/197/2020 du 30 janvier 2020</w:t>
      </w:r>
    </w:p>
    <w:p>
      <w:r>
        <w:t>IT: GE_GERICHTE ACJC/197/2020 del 30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w:t>
      </w:r>
    </w:p>
    <w:p>
      <w:r>
        <w:t>- 5/7 -</w:t>
      </w:r>
    </w:p>
    <w:p>
      <w:r>
        <w:t>C/1358/2020</w:t>
      </w:r>
    </w:p>
    <w:p>
      <w:r>
        <w:rPr>
          <w:b/>
        </w:rPr>
        <w:t>E. 3</w:t>
      </w:r>
    </w:p>
    <w:p>
      <w:r>
        <w:t>Les recourants font grief au Tribunal de ne pas avoir considéré qu'ils avaient rendu vraisemblable l'existence d'une créance à l'encontre de C______. Ils font valoir qu'il est sans pertinence que la recourante n'ait pas rapporté à la succession les avoirs touchés dans le cadre de la liquidation du trust. L'exécution par la banque des instructions en vue de la liquidation du trust ne suffisait pas à rendre vraisemblable la titularité des petits-enfants de la défunte sur les avoirs en question. Sous l'angle du droit, il n'était pas possible que la défunte ait institué ses petits-enfants propriétaires du trust, tout en restant bénéficiaire. Il était probable que C______ avait prétendu agir au nom de sa grand-mère, sans y être autorisé, profitant du grand âge de celle-ci et de l'incapacité à gérer ses affaires en résultant. Enfin, le Tribunal avait violé le droit français, qui prévoit qu'une donation ne se présume pas, en jugeant que rien ne permettait de retenir que la défunte n'avait pas voulu de son plein gré faire don de la fortune du trust à ses petits-enfants. Il n'existait aucune manifestation de volonté de la défunte dans le sens d'une donation.</w:t>
      </w:r>
    </w:p>
    <w:p>
      <w:r>
        <w:t>3.1.1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3.1.2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w:t>
      </w:r>
    </w:p>
    <w:p>
      <w:r>
        <w:t>- 6/7 -</w:t>
      </w:r>
    </w:p>
    <w:p>
      <w:r>
        <w:t>C/1358/2020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3.2</w:t>
      </w:r>
    </w:p>
    <w:p>
      <w:r>
        <w:t>En l'espèce, contrairement à ce que tentent de soutenir les recourants, il est vraisemblable que l'exécution par G______ LTD d'un transfert des Bahamas sur deux comptes tiers dans une autre banque à Genève de biens d'une valeur de 10'000'000 fr. reposait sur un motif légitime et était valablement documenté. L'acceptation de ces montants par J______ va d'ailleurs dans le même sens. A cela s'ajoute que, comme l'a retenu à juste titre le Tribunal, le dossier ne contient aucun élément probant quant à la date de constitution du trust F______, ses caractéristiques et ses conditions ou le droit applicable à une éventuelle donation à cette époque, de sorte que les suppositions des requérants quant aux circonstances du transfert litigieux ne suffisent pas à rendre vraisemblable l'existence d'une créance à l'encontre de C______. De la même manière, les prétendues violations du droit français en matière de donation ne sont pas étayées, tant on ignore tout de la titularité des biens litigieux et du contexte de leur transfert. A cet égard, à part l'âge de la défunte, en soi pas déterminant, les requérants ne fournissent aucun élément concret à l'appui de la prétendue incapacité de celle-ci à gérer ses affaires en 2015. Ils soutiennent d'ailleurs, de manière contradictoire, que celle-ci n'aurait pas eu la volonté de donner, ce qui suppose une certaine capacité de discernement. Au vu des considérations qui précèdent, c'est à bon droit que le Tribunal a refusé d'ordonner le séquestre requis. Le recours sera rejeté.</w:t>
      </w:r>
    </w:p>
    <w:p>
      <w:r>
        <w:rPr>
          <w:b/>
        </w:rPr>
        <w:t>E. 4</w:t>
      </w:r>
    </w:p>
    <w:p>
      <w:r>
        <w:t>Le présent arrêt rend sans objet les conclusions prises à titre superprivionnel et provisionnel, sans qu'il soit nécessaire d'examiner plus avant leur recevabilité ou leur fondement.</w:t>
      </w:r>
    </w:p>
    <w:p>
      <w:r>
        <w:rPr>
          <w:b/>
        </w:rPr>
        <w:t>E. 5</w:t>
      </w:r>
    </w:p>
    <w:p>
      <w:r>
        <w:t>Les recourants, qui succombent, seront condamnés aux frais du recours (art. 106 al. 1 CPC), arrêtés à 3'000 fr. (art. 48 et 61 OELP). Il n'y a pas lieu à l'allocation de dépens. * * * * *</w:t>
      </w:r>
    </w:p>
    <w:p>
      <w:r>
        <w:t>- 7/7 -</w:t>
      </w:r>
    </w:p>
    <w:p>
      <w:r>
        <w:t>C/1358/2020 PAR CES MOTIFS, La Chambre civile : A la forme : Déclare recevable le recours interjeté par A______ et B______ contre l'ordonnance SQ/116/2020 rendue le 27 janvier 2020 par le Tribunal de première instance dans la cause C/1358/2020-24 SQP. Au fond : Le rejette. Déboute les parties de toutes autres conclusions. Sur les frais : Arrête les frais du recours à 3'000 fr. et les met à la charge de A______ et B______, conjointement et solidairement. Condamne en conséquence, conjointement et solidairement, A______ et B______ à verser à l'Etat de Genève, soit pour lui les Services financiers du Pouvoir judiciaire, la somme de 3'000 fr.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