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ACJC/196/2026 vom 2. Februar 2026</w:t>
      </w:r>
    </w:p>
    <w:p>
      <w:r>
        <w:t>GE Cour de justice, 2026-02-02, FR</w:t>
      </w:r>
    </w:p>
    <w:p>
      <w:r>
        <w:rPr>
          <w:b/>
        </w:rPr>
        <w:t xml:space="preserve">Quelle: </w:t>
      </w:r>
      <w:r>
        <w:t>https://mcp.opencaselaw.ch/entscheid/ge_gerichte_ACJC_196_2026</w:t>
      </w:r>
    </w:p>
    <w:p>
      <w:r>
        <w:t>FR: GE_GERICHTE ACJC/196/2026 du 2 février 2026</w:t>
      </w:r>
    </w:p>
    <w:p>
      <w:r>
        <w:t>IT: GE_GERICHTE ACJC/196/2026 del 2 febbraio 2026</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w:t>
      </w:r>
    </w:p>
    <w:p>
      <w:r>
        <w:t>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et 311 al. 1 CPC), l'appel est recevable. Les faits nouveaux allégués par l’appelant, de même que les pièces nouvelles offertes en preuve, sont recevables, en tant qu’ils sont postérieurs au jugement (art. 317 al. 1 CPC), quoi qu’il en soit de leur pertinence.</w:t>
      </w:r>
    </w:p>
    <w:p>
      <w:r>
        <w:rPr>
          <w:b/>
        </w:rPr>
        <w:t>E. 3</w:t>
      </w:r>
    </w:p>
    <w:p>
      <w:r>
        <w:t>Les parties ne contestent, à juste titre, pas la compétence des juridictions genevoises pour connaître du présent litige, dans la mesure où les intimées ont accepté celle-ci en première instance (GUILLAUME, CR LDIP/CL, 2025 n. 8 ad. art. 21 CL). Au demeurant, l'appelant accomplissait habituellement son travail à Genève, où se trouve une succursale de l'intimée (art. 34 CPC).</w:t>
      </w:r>
    </w:p>
    <w:p>
      <w:r>
        <w:rPr>
          <w:b/>
        </w:rPr>
        <w:t>E. 4</w:t>
      </w:r>
    </w:p>
    <w:p>
      <w:r>
        <w:t>La Cour revoit la cause avec un plein pouvoir d'examen (art. 310 CPC), dans la limite des griefs motivés qui sont formulés (ATF 142 III 413 consid. 2.2.4). L’appelant a reproché au Tribunal une constatation incomplète ou inexacte des faits; en tant que le grief portait sur des faits pertinents, il en a été tenu compte dans l’état de fait dressé ci-dessus.</w:t>
      </w:r>
    </w:p>
    <w:p>
      <w:r>
        <w:rPr>
          <w:b/>
        </w:rPr>
        <w:t>E. 5</w:t>
      </w:r>
    </w:p>
    <w:p>
      <w:r>
        <w:t>L’appelant reproche au Tribunal de ne pas avoir fait droit à sa prétention en indemnité de départ, fondée sur les avenants à son contrat de travail.</w:t>
      </w:r>
    </w:p>
    <w:p>
      <w:r>
        <w:t>- 14/21 -</w:t>
      </w:r>
    </w:p>
    <w:p>
      <w:r>
        <w:t>C/25216/2021</w:t>
      </w:r>
    </w:p>
    <w:p>
      <w:r>
        <w:rPr>
          <w:b/>
        </w:rPr>
        <w:t>E. 5.1</w:t>
      </w:r>
    </w:p>
    <w:p>
      <w:r>
        <w:t>L’art. 322 al. 1 CO prévoit que l’employeur paie au travailleur le salaire convenu, usuel ou fixé par un contrat-type de travail ou par une convention collective.</w:t>
      </w:r>
    </w:p>
    <w:p>
      <w:r>
        <w:t>Selon l’art. 322d al. 1 CO, si l’employeur accorde en sus du salaire une rétribution spéciale à certaines occasions, telles que Noël ou la fin de l’exercice annuel, le travailleur y a droit lorsqu’il en a été convenu ainsi.</w:t>
      </w:r>
    </w:p>
    <w:p>
      <w:r>
        <w:rPr>
          <w:b/>
        </w:rPr>
        <w:t>E. 5.2</w:t>
      </w:r>
    </w:p>
    <w:p>
      <w:r>
        <w:t>Chaque partie doit prouver les faits qu’elle allègue pour en déduire son droit (art. 8 CC).</w:t>
      </w:r>
    </w:p>
    <w:p>
      <w:r>
        <w:t>L’art. 150 al. 1 CPC prévoit que la preuve a pour objet les faits pertinents et contestés.</w:t>
      </w:r>
    </w:p>
    <w:p>
      <w:r>
        <w:t>Les moyens de preuve sont notamment les titres et l’interrogatoire et la déposition des parties (art. 168 al. 1 let. b et f CPC).</w:t>
      </w:r>
    </w:p>
    <w:p>
      <w:r>
        <w:rPr>
          <w:b/>
        </w:rPr>
        <w:t>E. 5.3</w:t>
      </w:r>
    </w:p>
    <w:p>
      <w:r>
        <w:t>En l’espèce, il est constant que les parties sont convenues de ce que l’appelant aurait droit à une indemnité de départ dans l’hypothèse où sa rémunération serait réduite et où il démissionnerait.</w:t>
      </w:r>
    </w:p>
    <w:p>
      <w:r>
        <w:rPr>
          <w:b/>
        </w:rPr>
        <w:t>E. 5.3.1</w:t>
      </w:r>
    </w:p>
    <w:p>
      <w:r>
        <w:t>Dans la mesure où le fait est acquis, il est sans pertinence de déterminer les raisons qui ont présidé aux avenants de 2014 et 2018, quoi qu’en pense l’appelant, étant précisé en tout état que ses allégués relatifs à la promesse en sa faveur d’obtenir le poste de COO et à la suppression dudit poste, contestés, n'ont pas été établis par les offres de preuve (titres et interrogatoire).</w:t>
      </w:r>
    </w:p>
    <w:p>
      <w:r>
        <w:t>Il incombe à l’appelant d’établir que la condition donnant droit à l’indemnité de départ se serait réalisée.</w:t>
      </w:r>
    </w:p>
    <w:p>
      <w:r>
        <w:rPr>
          <w:b/>
        </w:rPr>
        <w:t>E. 5.3.2</w:t>
      </w:r>
    </w:p>
    <w:p>
      <w:r>
        <w:t>L’appelant soutient que sa résiliation des rapports de travail, dont il a lui- même finalement admis au Tribunal qu’il l’avait communiquée le 26 mai 2021 à son supérieur, aurait procédé de ce que la quotité de sa rémunération contractuelle se serait amoindrie; c’est cette circonstance qui lui donnerait droit à une indemnité de départ.</w:t>
      </w:r>
    </w:p>
    <w:p>
      <w:r>
        <w:t>Certes, le courrier précité était daté du lendemain, selon l’appelant (qui n’avait rien allégué dans sa demande sur ce point) parce qu’il entendait obtenir de son interlocuteur qu’il lui fournisse une assurance que sa rémunération ne serait pas baissée. Cette circonstance n’est pas déterminante puisque l’appelant n’a pas fait valoir qu’elle aurait été, cas échéant, confirmée après la tenue de l’assemblée générale. Il est également sans portée que l’appelant ait démissionné d’une charge d’administrateur le 27 mai 2021, puisqu’il n’a pas allégué qu’il y aurait eu un lien entre ce mandat et son contrat de travail; le fait que l’accusé de réception de la</w:t>
      </w:r>
    </w:p>
    <w:p>
      <w:r>
        <w:t>- 15/21 -</w:t>
      </w:r>
    </w:p>
    <w:p>
      <w:r>
        <w:t>C/25216/2021 lettre portant démission de ladite charge date du 27 mai 2021 est ainsi impropre à établir l’aspect conditionnel de la lettre de démission remise la veille, quoi qu’en argumente l’appelant. Rien pour le surplus ne peut être tiré du courrier de l’intimée du 2 juin 2021, contrairement à ce que soutient l’appelant, puisque la référence à une lettre de démission datée du 27 mai 2021 correspond à la réalité, quel qu’ait été le jour de remise effective dudit courrier.</w:t>
      </w:r>
    </w:p>
    <w:p>
      <w:r>
        <w:t>Il est établi qu’un projet de diminution du nombre d’USAs alloués a été préparé au sein de l’intimée et soumis à l’assemblée générale, qui l’a adopté le 27 mai 2021. L’appelant soutient que l’effet en était une diminution de sa rémunération globale, tandis que l’intimée affirme que la réduction du nombre total d’USAs alloués n’affectait pas automatiquement la situation d’un individu donné, étant en outre relevé que le bonus cible était augmenté et que la valeur des actions de l’intimée cotée en bourse avait augmenté; elle conteste donc toute baisse de rémunération globale, sans même qu’il soit fait référence à la stipulation contractuelle spécifique de 80'000 USAs de l’appelant.</w:t>
      </w:r>
    </w:p>
    <w:p>
      <w:r>
        <w:t>A cet égard, le texte de la présentation du projet susmentionné correspond à la position de l’intimée, en tant qu’il y est évoqué tant l’augmentation du bonus que la hausse de la valeur de l’action, partant le fait que la position des employés visés ne serait pas péjorée.</w:t>
      </w:r>
    </w:p>
    <w:p>
      <w:r>
        <w:t>Ce nonobstant, l’appelant persiste à affirmer que sa situation aurait été affectée par ce projet, en dépit de ce qu’il se savait bénéficier contractuellement, contrairement à ses collègues, d’un quota fixe d’allocation d’USAs.</w:t>
      </w:r>
    </w:p>
    <w:p>
      <w:r>
        <w:t>Il résulte des échanges intervenus entre l’appelant et la responsable des ressources humaines les 6, 7, 20 et 24 mai 2021 que le premier a posé diverses questions sur les effets du projet, tant en ce qui concernait la situation de ses subordonnés que la sienne propre. Comme l’a relevé le Tribunal, il incombe à l’employeur de connaître les conditions contractuelles de ses employés; l’appelant est donc fondé à critiquer la réponse apportée par la responsable des ressources humaines, qui a imprudemment omis de vérifier si le contrat de l’appelant comportait une particularité qui l’emporterait sur les règles générales envisagées. Cela étant, la précitée exprimait une projection (ou une simulation – action de faire paraître comme réel, effectif ce qui ne l'est pas, selon la définition du dictionnaire Le Robert en ligne – telle que qualifiée par l’appelant lui-même dans la partie en droit de son appel, qu’il décrit comme "affirmative" car ne comportant pas de conditionnel ni de réserve, sans que l’on comprenne en quoi cette analyse grammaticale modifierait le sens clair du terme simulation), partant non pas une décision effective. Le courriel du 24 mai 2021 de la responsable des ressources</w:t>
      </w:r>
    </w:p>
    <w:p>
      <w:r>
        <w:t>- 16/21 -</w:t>
      </w:r>
    </w:p>
    <w:p>
      <w:r>
        <w:t>C/25216/2021 humaines ne constitue dès lors pas la preuve de la baisse de la rémunération de l’appelant au jour de la démission, comme le prétend à tort celui-ci. Au demeurant, l’appelant s’est gardé de rappeler à la responsable des ressources humaines la particularité de son contrat de travail, qui faisait de lui le seul collaborateur (à l’exception du CEO) au bénéfice du quota fixe d’allocation d’USAs susmentionné. Contrairement à ce qu’il a déclaré au Tribunal, il n’a pas fait allusion, dans ses courriels des 6 et 20 mai 2021, aux 80'000 USAs stipulés dans l’avenant de 2014; il s’est limité, dans ces deux messages, à se référer à son allocation effective en 2020, respectivement "of last year" de 80'000 USAs. Sa déclaration au Tribunal s’agissant de l’échange oral du 6 mai 2021, outre qu’elle excédait le cadre de ses allégués, n’est pas conforme aux termes du courriel du lendemain; elle est inexacte en ce qui concerne le courriel du 20 mai 2021. Cette déclaration n’a donc pas à être prise en considération, tandis que rien ne tend à mettre en doute la déclaration de H______. Soutenir comme l’appelant le fait, qu’en lui proposant cette projection dont résultait, en cas d’adoption de la décision par l’assemblée générale, une supposée diminution de son allocation d’USAs, alors qu’il se savait en droit de maintenir cette allocation en dépit de ladite décision et qu’il s’était abstenu de rappeler son droit, relève du venire contra factum proprium, qui ne mérite pas protection.</w:t>
      </w:r>
    </w:p>
    <w:p>
      <w:r>
        <w:t>Contrairement à ce que plaide l’appelant, ce ne sont pas les déclarations des représentants de l’intimée qui établissent les faits pertinents en l’occurrence. L’appelant ne conteste, en effet, pas que la décision d’approbation du nouveau plan appartenait à l’assemblée générale (se limitant à affirmer, de façon conforme au dossier, que ladite assemblée générale n’avait pas de pouvoir s’agissant de sa propre rémunération), tout en prétendant, de façon apparemment contradictoire, qu’il ne s’agirait que "d’une validation […] d’une décision en réalité déjà prise"; par conséquent, jusqu’à prise de décision par l’assemblée générale, la proposition ne peut être qualifiée que de projet. Le fait est donc établi sans qu’il ait été nécessaire de le prouver par l’audition de l’intimée. Quant au droit de l’appelant à son quota d’allocation d’USAs, il n’est pas contesté, de sorte qu’il n’a pas non plus à être prouvé. La thèse de l’appelant selon laquelle les déclarations des représentants de l’intimée devraient être appréciées avec circonspection (notamment en raison de la confusion résultant de la déclaration en deux temps de J______ et de la position de G______ en mars 2018 ou de la collaboration dudit au service des ressources humaines en 2018, ainsi que de son affirmation que les lettres d’octroi d’USAs étaient antidatées et communiquées en août ou septembre) est ainsi sans portée. Pour le surplus, on peine à comprendre l’argument de l’appelant relatif à la circonstance, non contestée, que l’allocation concrète des USAs, si elle n’avait pas</w:t>
      </w:r>
    </w:p>
    <w:p>
      <w:r>
        <w:t>- 17/21 -</w:t>
      </w:r>
    </w:p>
    <w:p>
      <w:r>
        <w:t>C/25216/2021 été dictée par les conditions contractuelles, aurait été du ressort de G______. Selon sa thèse, l’appelant aurait été ainsi exposé à l’arbitraire du précité lequel, sans supposée trace écrite de sa position sur le sujet, aurait prétendument supprimé le poste de COO convoité par l’appelant ainsi que refusé à celui-ci une "progression" au sein du groupe. Outre que ces derniers allégués de l’appelant, contestés par les intimées notamment sur la base du communiqué de presse du 27 avril 2017 (dont résulte que le premier reflétait une décision du prédécesseur de G______) n’ont pas été établis (en particulier, le texte de l’avenant de 2018 ne fait pas référence à une suppression de poste, et l’appelant n’a pas fait de déclaration relative à un refus de progression en 2019), ils sont sans pertinence, car le droit à l’attribution de 80'000 USAs était acquis par contrat, comme retenu ci-dessus, partant sans marge de manœuvre de G______. La circonstance que l’appelant, selon ce qu’il soutient dans l’appel, n’ait pas pu "compter sur la flexibilité" du susnommé, partant ait supputé une intention de baisse du nombre d’USAs attribué, est dès lors irrelevante. De même est sans portée la conclusion que l’appelant entend tirer de ce que l’intimée n’a pas produit de procès-verbaux du managing board, au motif de leur non existence (contestée par l’appelant, sans autre référence que des suppositions générales).</w:t>
      </w:r>
    </w:p>
    <w:p>
      <w:r>
        <w:t>En définitive, au vu de ce qui précède, l’appelant n’est pas parvenu à démontrer qu’il aurait présenté sa démission après qu’une diminution de sa rémunération aurait été définitivement décidée par l’organe compétent, partant qu’il se serait trouvé dans une situation ouvrant le droit à une indemnité de départ.</w:t>
      </w:r>
    </w:p>
    <w:p>
      <w:r>
        <w:rPr>
          <w:b/>
        </w:rPr>
        <w:t>E. 6</w:t>
      </w:r>
    </w:p>
    <w:p>
      <w:r>
        <w:t>L’appelant fait grief aux premiers juges d’avoir qualifié les USAs de gratification et non de salaire.</w:t>
      </w:r>
    </w:p>
    <w:p>
      <w:r>
        <w:rPr>
          <w:b/>
        </w:rPr>
        <w:t>E. 6.1</w:t>
      </w:r>
    </w:p>
    <w:p>
      <w:r>
        <w:t>Le droit suisse ne contient aucune disposition qui traite spécifiquement du bonus, lequel peut consister dans le versement d'une somme d'argent ou encore dans la remise d'actions ou d'options (ATF 141 III 407 consid. 4.1). Dans chaque cas, il faut donc, dans une première étape, déterminer, par interprétation des manifestations de volonté des parties lors de la conclusion du contrat ou de leur comportement ultérieur au cours des rapports de travail (accord par actes concluants, c'est-à-dire tacite), le contenu du contrat puis, dans une seconde étape, qualifier le bonus convenu d'élément du salaire (art. 322 s. CO) ou de gratification (art. 322d CO) (ATF 142 III 381 consid. 2.1 et 2.2; s'agissant des deux étapes, cf. arrêt du Tribunal fédéral 4A_461/2020 du 16 février 2021 consid. 4.1 et les références citées). S'il s'agit d'une gratification, il faut encore déterminer si les parties ont prévu un droit à la gratification ou non. Il en résulte qu'il faut bien distinguer entre les trois cas suivants : (1) le salaire – variable –, (2) la gratification à laquelle le travailleur a droit et (3) la gratification</w:t>
      </w:r>
    </w:p>
    <w:p>
      <w:r>
        <w:t>- 18/21 -</w:t>
      </w:r>
    </w:p>
    <w:p>
      <w:r>
        <w:t>C/25216/2021 à laquelle il n'a pas droit. Ce n'est que lorsque le travailleur n'a pas de droit à la gratification – cas no 3 – que la question de la requalification du bonus en salaire, en vertu du principe de l'accessoriété lorsque les salaires sont modestes ou moyens à supérieurs, se pose, ce principe étant en revanche inapplicable pour les très hauts revenus (arrêt du Tribunal fédéral 4A_327/2019 du 1er mai 2020 consid. 3.1).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4.2.1; 136 III 313 consid. 2; 129 III 276 consid. 2). En revanche, on se trouve en présence d'une gratification – dans les cas n° 2 et 3 – lorsque le bonus est indéterminé ou objectivement indéterminable (ATF 141 III 407 consid. 4.2.2; 139 III 155 consid. 3.1; arrêt du Tribunal fédéral 4A_485/2016 du 28 avril 2017 consid. 4.1.2).</w:t>
      </w:r>
    </w:p>
    <w:p>
      <w:r>
        <w:t>L'employeur peut subordonner le paiement de la gratification à la réalisation de conditions, dans les limites de l'art. 27 al. 2 CC (arrêts du Tribunal fédéral 4A_219/2013 du 4 septembre 2013 consid. 3.1; 4C.426/2005 du 28 février 2006 consid. 5.1). Ainsi est-il admissible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(arrêts du Tribunal fédéral 4A_513/2017 du 5 septembre 2018 consid. 5.1; 4A_26/2012 du 15 mai 2012 consid. 5.2.2; 4A_502/2010 du 1er décembre 2010 consid. 2.2; 4A_509/2008 du 3 février 2009 consid. 4.1; 4A_115/2007 du 13 juillet 2007 consid. 4.3.1; 4C.426/2005 précité consid. 5.1). En revanche, le paiement du salaire ne saurait dépendre de la présence de l'employé dans l'entreprise ou de la non-résiliation de son contrat; la fonction même du salaire s'y oppose. Une telle clause est illicite et frappée de nullité en tant qu'elle se rapporte à un élément du salaire (art. 20 al. 2 CO; cf. ATF 109 II 447 consid. 5c; arrêts du Tribunal fédéral 4A_506/2023 du 19 février 2025 consid. 4.1; 4A_158/2019 du 26 février 2020 consid. 4; 4C.426/2005 précité consid. 5.2). 6.2.1 En l’espèce, il est établi que l’appelant avait contractuellement droit à une allocation de 80'000 USAs, ce qui s’est traduit par les décisions des 24 juillet 2019 et 23 juillet 2020. Selon les conditions posées à l’exercice effectif du droit, l’employé doit se trouver au service de l’employeur à la date prévue, sauf</w:t>
      </w:r>
    </w:p>
    <w:p>
      <w:r>
        <w:t>- 19/21 -</w:t>
      </w:r>
    </w:p>
    <w:p>
      <w:r>
        <w:t>C/25216/2021 cas exceptionnels énumérés, exclus en l’occurrence par le considérant précédent, de sorte qu’il n’y sera pas revenu.</w:t>
      </w:r>
    </w:p>
    <w:p>
      <w:r>
        <w:t>La prétention de l’appelant dépend ainsi de la qualification apportée à l’attribution des USAs. S’il s’agit d’un élément du salaire, la condition de l’existence des rapports de travail à la date considérée est nulle; s’il s’agit d’une gratification, elle est valable. 6.2.2 La disposition contractuelle considérée se trouve dans le chapitre consacré à la rémunération, laquelle se subdivise en un salaire de base (750'000 fr. par an en dernier lieu), un bonus (versé à concurrence de 797'400 fr. pour l’année 2020), et une participation au plan d’intéressement, précisée dès l’avenant de 2014, en ce sens qu’il s’agirait d’un droit à l’attribution de 80'000 USAs.</w:t>
      </w:r>
    </w:p>
    <w:p>
      <w:r>
        <w:t>L’appelant, dans sa demande et dans sa réplique, n’a formulé aucun allégué relatif aux circonstances de la négociation de la clause consacrée à la composition de la rémunération au moment où les rapports de travail se sont noués.</w:t>
      </w:r>
    </w:p>
    <w:p>
      <w:r>
        <w:t>Il fait valoir que, s’agissant du plan d’intéressement, l’employeur ne disposerait d’aucune marge d’appréciation de sorte que son droit serait déterminable, lui conférant le caractère d’un salaire variable et non d’une gratification. Les conditions financières stipulées dans le plan d’intéressement seraient objectives, et donc déterminées.</w:t>
      </w:r>
    </w:p>
    <w:p>
      <w:r>
        <w:t>Cette thèse se heurte toutefois au texte clair du plan. Outre qu’il s’agit indubitablement d’un plan d’intéressement (librement adopté par l’assemblée générale, comme en témoigne d’ailleurs la décision du 27 mai 2021), sont stipulées des conditions pour que le droit à l’attribution d’un certain nombre d’actions se réalise en remise d’actions, en particulier des conditions de performance de l’entreprise; en outre le plan réserve aux organes de celle-ci la possibilité de modifier les termes et conditions, respectivement le résultat obtenu, à sa seule discrétion.</w:t>
      </w:r>
    </w:p>
    <w:p>
      <w:r>
        <w:t>Par ailleurs, il avait été spécialement convenu entre les parties, dans les avenants de 2014 et 2018, que, dans des cas de figure spécifiques (dont la diminution de la rémunération) permettant une indemnité de départ, les USAs "granted prior to the effective date shall, if not already vested, vest automatically 100% on the employment end date". A contrario, un tel effet ne doit pas se produire lorsque les cas de figure susvisés ne sont pas réalisés, comme en l’occurrence. Cette stipulation confirme l’absence de droit de l’appelant sur ce point.</w:t>
      </w:r>
    </w:p>
    <w:p>
      <w:r>
        <w:t>Dès lors, il ne peut être considéré que le droit de l’appelant à des actions, en dépit de l’indiscutable prétention en acquisition de 80'000 USAs, aurait été déterminable. Au contraire, l’appréciation de l’employeur demeure présente</w:t>
      </w:r>
    </w:p>
    <w:p>
      <w:r>
        <w:t>- 20/21 -</w:t>
      </w:r>
    </w:p>
    <w:p>
      <w:r>
        <w:t>C/25216/2021 jusqu’à la décision finale, s’agissant des "vesting conditions". La qualification de salaire de cette prétention doit ainsi être écartée, au profit de celle de gratification. Il n’y a pas matière à requalification in casu, compte tenu de la quotité extrêmement élevée des montants en cause. 6.2.3 Il s’ensuit que la clause contractuelle, selon laquelle la prétention n’est pas due en raison de la fin des rapports de travail, est valable.</w:t>
      </w:r>
    </w:p>
    <w:p>
      <w:r>
        <w:t>En définitive, l’appelant a certes obtenu le droit à l’attribution des 73'601 et 80'000 USAs. Il n’a en revanche pas celui de recevoir la même quantité d’actions de l’intimée. Il est dès lors superflu d’examiner la recevabilité des faits et pièces nouvellement allégués et produits en appel relativement à la valeur desdites actions.</w:t>
      </w:r>
    </w:p>
    <w:p>
      <w:r>
        <w:rPr>
          <w:b/>
        </w:rPr>
        <w:t>E. 7</w:t>
      </w:r>
    </w:p>
    <w:p>
      <w:r>
        <w:t>L’appelant s’en prend encore à la quotité des frais fixée par le Tribunal, qui a fait application de l’art. 6 RTFMC, motif pris de la valeur litigieuse très élevée et de la complexité de la cause notamment en raison du volume des écritures des parties. A rigueur de texte, la première de ces motivations est suffisante pour l’application de la disposition susmentionnée; comme l’appelant admet que la valeur litigieuse est très élevée, son grief tombe à faux. Le Tribunal n’a dès lors pas violé l’art. 6 RTFMC.</w:t>
      </w:r>
    </w:p>
    <w:p>
      <w:r>
        <w:rPr>
          <w:b/>
        </w:rPr>
        <w:t>E. 8</w:t>
      </w:r>
    </w:p>
    <w:p>
      <w:r>
        <w:t>Au vu de ce qui précède, le jugement sera confirmé dans son résultat, à savoir le déboutement de l’appelant des fins de ses conclusions dirigées contre les intimés, sans qu’il soit dès lors nécessaire d’examiner plus avant la légitimation passive respective de celles-ci.</w:t>
      </w:r>
    </w:p>
    <w:p>
      <w:r>
        <w:rPr>
          <w:b/>
        </w:rPr>
        <w:t>E. 9</w:t>
      </w:r>
    </w:p>
    <w:p>
      <w:r>
        <w:t>L’appelant, qui succombe, supportera les frais de son appel (art. 106 al. 1 CPC), arrêtés à 10'000 fr, compensés avec l’avance déjà opérée, acquise à l’Etat de Genève. Il n’est pas alloué de dépens (art. 22 al. 2 LaCC).</w:t>
      </w:r>
    </w:p>
    <w:p>
      <w:r>
        <w:t>* * * * *</w:t>
      </w:r>
    </w:p>
    <w:p>
      <w:r>
        <w:t>- 21/21 -</w:t>
      </w:r>
    </w:p>
    <w:p>
      <w:r>
        <w:t>C/25216/2021 PAR CES MOTIFS, La Chambre des prud'hommes : A la forme : Déclare recevable l’appel formé par A______ contre le jugement JTPH/295/2024 rendu par le Tribunal des prud’hommes le 13 novembre 2024 dans la cause C/25216/2021. Au fond : Confirme ce jugement. Déboute les parties de toute autre conclusion. Sur les frais : Arrête les frais judiciaires d’appel à 10'000 fr., compensés avec l’avance opérée, acquise à l’Etat de Genève. Les met à la charge de A______. Dit qu’il n’est pas alloué de dépens. Siégeant : Madame Sylvie DROIN,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