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ACJC/196/2025 vom 17. Februar 2025</w:t>
      </w:r>
    </w:p>
    <w:p>
      <w:r>
        <w:t>GE Cour de justice, 2025-02-17, FR</w:t>
      </w:r>
    </w:p>
    <w:p>
      <w:r>
        <w:rPr>
          <w:b/>
        </w:rPr>
        <w:t xml:space="preserve">Quelle: </w:t>
      </w:r>
      <w:r>
        <w:t>https://mcp.opencaselaw.ch/entscheid/ge_gerichte_ACJC_196_2025</w:t>
      </w:r>
    </w:p>
    <w:p>
      <w:r>
        <w:t>FR: GE_GERICHTE ACJC/196/2025 du 17 février 2025</w:t>
      </w:r>
    </w:p>
    <w:p>
      <w:r>
        <w:t>IT: GE_GERICHTE ACJC/196/2025 del 17 febbraio 2025</w:t>
      </w:r>
    </w:p>
    <w:p>
      <w:pPr>
        <w:pStyle w:val="Heading2"/>
      </w:pPr>
      <w:r>
        <w:t>Erwägungen</w:t>
      </w:r>
    </w:p>
    <w:p>
      <w:r>
        <w:rPr>
          <w:b/>
        </w:rPr>
        <w:t>E. 1.1</w:t>
      </w:r>
    </w:p>
    <w:p>
      <w:r>
        <w:t>L'appel est recevable contre les décisions finales et les décisions incidentes de première instance lorsque, dans les affaires patrimoniales, la valeur litigieuse au dernier état des conclusions est de 10'000 fr. au moins (art. 308 al. 1 let. a et al. 2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compte tenu de la différence entre le loyer annuel fixé par le bail et celui requis par les appelants, la valeur litigieuse est supérieure à 10'000 fr., de sorte que la voie de l'appel est ouverte, ce qui n'est, au demeurant, pas contesté.</w:t>
      </w:r>
    </w:p>
    <w:p>
      <w:r>
        <w:rPr>
          <w:b/>
        </w:rPr>
        <w:t>E. 1.3</w:t>
      </w:r>
    </w:p>
    <w:p>
      <w:r>
        <w:t>L'appel a été interjeté dans le délai et suivant la forme prescrits par la loi (art. 130, 131, 311 al. 1 CPC). Il est ainsi recevable.</w:t>
      </w:r>
    </w:p>
    <w:p>
      <w:r>
        <w:t>Formé dans la réponse à l'appel (art. 313 al. 1 CPC) et dans le respect des formes énoncées ci-dessus, l'appel joint est également recevable. Par souci de simplification et pour respecter le rôle initial des parties devant la Cour, les locataires seront ci-après désignés en qualité d'appelants et la bailleresse en qualité d'intimée.</w:t>
      </w:r>
    </w:p>
    <w:p>
      <w:r>
        <w:t>- 8/18 -</w:t>
      </w:r>
    </w:p>
    <w:p>
      <w:r>
        <w:t>C/15474/2022</w:t>
      </w:r>
    </w:p>
    <w:p>
      <w:r>
        <w:rPr>
          <w:b/>
        </w:rPr>
        <w:t>E. 1.4</w:t>
      </w:r>
    </w:p>
    <w:p>
      <w:r>
        <w:t>Les parties ont produit des pièces nouvelles devant la Cour.</w:t>
      </w:r>
    </w:p>
    <w:p>
      <w:r>
        <w:rPr>
          <w:b/>
        </w:rPr>
        <w:t>E. 1.4.1</w:t>
      </w:r>
    </w:p>
    <w:p>
      <w:r>
        <w:t>Selon l'art. 317 al. 1 CPC, également applicable lorsque la cause est soumise à la maxime inquisitoire (arrêt du Tribunal fédéral 4A_519/2012 du 30 avril 2013 consid. 5), les faits et les moyens de preuves nouveaux ne sont pris en considération en appel que s'ils sont invoqués ou produits sans retard (let. a) et avec la diligence requise (let. b). A teneur de l'art. 151 CPC, les faits notoires ou notoirement connus du Tribunal ne doivent pas être prouvés. Sont notamment assimilés à des faits notoires les extraits internet de l'Office fédéral de la statistique, les inscriptions au Registre du commerce, taux de change, horaire des CFF, etc. (ATF 143 IV 380 consid. 1.2; arrêt du Tribunal fédéral 5A_1048/2019 du 30 juin 2021 consid. 3.6.6).</w:t>
      </w:r>
    </w:p>
    <w:p>
      <w:r>
        <w:rPr>
          <w:b/>
        </w:rPr>
        <w:t>E. 1.4.2</w:t>
      </w:r>
    </w:p>
    <w:p>
      <w:r>
        <w:t>En l'espèce, les pièces produites par les appelants sont recevables dès lors qu'il s'agit d'extraits internet de l'Office cantonal de la statistique relevant du fait notoire. Quant aux pièces produites par l'intimée, bien qu'établies postérieurement au jugement entrepris, elles se rapportent à des faits qui existaient déjà lors de la procédure de première instance. Leur recevabilité peut cependant demeurer indécise dans la mesure où dites pièces ne sont pas déterminantes pour l'issue du litige.</w:t>
      </w:r>
    </w:p>
    <w:p>
      <w:r>
        <w:rPr>
          <w:b/>
        </w:rPr>
        <w:t>E. 1.5</w:t>
      </w:r>
    </w:p>
    <w:p>
      <w:r>
        <w:t>L'appel peut être formé pour violation du droit et constatation inexacte des faits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A titre liminaire, les appelants se plaignent d'une constatation inexacte des faits sur deux points, à savoir, d'une part, sur la qualité d'actionnaire unique de F______ des sociétés SI E______ et C______ SA et, d'autre part, sur le nombre de pièces de leur appartement.</w:t>
      </w:r>
    </w:p>
    <w:p>
      <w:r>
        <w:t>Ces points, qui résultent d'une appréciation des preuves et respectivement d'une application de la loi et de la jurisprudence seront examinés ci-après en lien avec les griefs soulevés par les appelants auxquels ils se rapportent.</w:t>
      </w:r>
    </w:p>
    <w:p>
      <w:r>
        <w:rPr>
          <w:b/>
        </w:rPr>
        <w:t>E. 3</w:t>
      </w:r>
    </w:p>
    <w:p>
      <w:r>
        <w:t>Les appelants reprochent au Tribunal d'avoir écarté l'application d'un calcul de rendement sans même avoir ordonné l'apport des documents comptables et financiers nécessaires pour déterminer si un tel calcul était possible ou non, violant ainsi, selon eux, la maxime inquisitoire sociale. Ils sollicitent que la cause</w:t>
      </w:r>
    </w:p>
    <w:p>
      <w:r>
        <w:t>- 9/18 -</w:t>
      </w:r>
    </w:p>
    <w:p>
      <w:r>
        <w:t>C/15474/2022 soit renvoyée au Tribunal pour complément d'instruction et concluent, subsidiairement, à ce que la Cour ordonne la production des pièces requises.</w:t>
      </w:r>
    </w:p>
    <w:p>
      <w:r>
        <w:t>3.1.1 En vertu de l'art. 270 al. 1 CO, le locataire peut contester le loyer initial qu'il estime abusif au sens des articles 269 et 269a CO. Selon l'art. 269 CO, le loyer est abusif lorsqu'il permet au bailleur d'obtenir un rendement excessif de la chose louée et, selon l'art. 269a let. a CO, il est présumé non abusif lorsqu'il se situe dans les limites des loyers usuels dans la localité ou dans le quartier (ATF 148 III 209 consid. 3).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147 III 14 consid. 4.2; 124 III 310 consid. 2b). Pour les immeubles anciens, la hiérarchie des critères absolus est inversée :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148 III 209 consid. 3.1; 147 III 14 consid. 4.2; 140 III 433 consid. 3.1).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 3.1.2 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Une violation de cette obligation ne doit pas être admise à la légère; elle suppose que le locataire se trouve dans l'impossibilité d'apporter lui- même la preuve et que la bonne foi impose au bailleur de collaborer. Les principes dégagés par la jurisprudence et rappelés encore récemment (ATF 142 III 568 consid. 2.1 p. 576; arrêts du Tribunal fédéral 4A_17/2017 du 7 septembre 2017 consid. 2.2 et les arrêts cités; 4A_461/2015 du 15 février 2016 consid. 3.2 et 3.3) peuvent être résumés comme suit :</w:t>
      </w:r>
    </w:p>
    <w:p>
      <w:r>
        <w:t>- 10/18 -</w:t>
      </w:r>
    </w:p>
    <w:p>
      <w:r>
        <w:t>C/15474/2022 En premier lieu, il s'agit de déterminer si les documents remis par les parties sont suffisants ou non pour calculer le rendement net. Si tel est le cas, c'est exclusivement sur cette base qu'il convient de déterminer si le loyer examiné est abusif au sens de l'art. 269 CO. 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 En troisième lieu, si tel n'est pas le cas parce que le bailleur a, sans aucune justification, refusé ou négligé de produire les pièces comptables en sa possession, il faut distinguer en fonction des moyens de preuve à disposition du juge. En l'absence de tout autre élément de preuve, le refus du bailleur pourra avoir pour conséquence de convaincre le juge de la fausseté complète ou partielle de ses allégations et, par conséquent, de l'amener à croire les indications du locataire.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 (ATF 147 III 14 cons. 6.1). 3.1.3 Pour les immeubles propriétés de sociétés immobilières, en règle générale, le prix de vente des actions ne peut pas être considéré comme la valeur d'achat de l'immeuble. Juridiquement, il ne s'agit que d'un transfert de titres. Le propriétaire inscrit au Registre foncier (la société immobilière) demeure le même. De plus, le prix de vente ne reflète pas nécessairement la valeur de l'immeuble; il est également dépendant de diverses particularités, telles que les dettes sociales et hypothécaires, les actifs non immobiliers (réserves latentes après déduction de la charge fiscale latente), la créance de l'actionnaire, ainsi que les recettes et dépenses de la société (ATF 112 II 149 consid. 3c; arrêt du Tribunal fédéral 5A_583/2023 du 12 août 2024 consid. 5.3 et les références citées; LACHAT/STASTNY, Le bail à loyer, 2019, p. 540).</w:t>
      </w:r>
    </w:p>
    <w:p>
      <w:r>
        <w:t>- 11/18 -</w:t>
      </w:r>
    </w:p>
    <w:p>
      <w:r>
        <w:t>C/15474/2022 3.1.4 Selon la maxime inquisitoire sociale ou simple - applicable en l'espèce (art. 243 al. 2 let. c CPC) - le juge doit établir les faits d'office et n'est pas lié par les allégations des parties et leurs offres de preuve (art. 247 al. 2 let. a CPC; ATF 139 III 457 consid. 4.4.3.2). Toutefois, les parties ne sont pas pour autant dispensées de collaborer activement à l'établissement des faits (ATF 142 III 402 consid. 2.1).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arrêts du Tribunal fédéral 5A_397/2022 du 17 mai 2023 consid. 3.1.1; 5A_86/2016 du 5 septembre 2016 consid. 5.2.2). L'autorité jouit d'un large pouvoir d'appréciation (ATF 142 III 413 consid. 2.2.1; arrêt du Tribunal fédéral 5A_37/2017 du 10 juillet 2017 consid. 3.1.2).</w:t>
      </w:r>
    </w:p>
    <w:p>
      <w:r>
        <w:rPr>
          <w:b/>
        </w:rPr>
        <w:t>E. 3.2</w:t>
      </w:r>
    </w:p>
    <w:p>
      <w:r>
        <w:t>En l'espèce, les appelants font valoir tant une constatation inexacte des faits qu'une violation du droit concernant la problématique du calcul de rendement.</w:t>
      </w:r>
    </w:p>
    <w:p>
      <w:r>
        <w:rPr>
          <w:b/>
        </w:rPr>
        <w:t>E. 3.2.1</w:t>
      </w:r>
    </w:p>
    <w:p>
      <w:r>
        <w:t>En premier lieu, ils reprochent au Tribunal d'avoir retenu que F______ était l'unique actionnaire des sociétés SI E______ et C______ SA, alors que, selon eux, ce fait n'a pas été prouvé. La question de la titularité économique des sociétés précitées n'a jamais été discutée en première instance. Concernant la SI E______, la bailleresse a exposé, dans son mémoire de réponse du 26 mai 2023, que F______ détenait un tiers des actions avant d'acquérir l'intégralité de l'actionnariat en 1994, devenant dès cette date l'actionnaire unique. Les appelants ont expressément admis cet allégué, de sorte qu'il ne revenait pas à l'intimée d'en apporter davantage la preuve, étant ici rappelé que seuls les faits contestés doivent être prouvés (art. 151 CPC). Concernant la société C______ SA, la bailleresse a allégué dans ses écritures que F______ en était l'actionnaire unique et l'administrateur, ce que ce dernier a confirmé lors de l'audience du 6 novembre 2023 sans que ce point ne soulève de remarque particulière. Il n'y a dès lors pas lieu de remettre en cause la véracité de ses déclarations, qui constituent un moyen de preuve admissible (art. 168 al. 1 let. f CPC). De plus, celles-ci sont, si besoin est, corroborées par les inscriptions figurant au Registre du commerce en lien avec le transfert de patrimoine du 18 juin 2020 dont il ressort que F______ a acquis 1'000'000 actions, soit l'intégralité des actions de la société bailleresse. Pour leur part, les appelants n'apportent aucun élément probant permettant d'aboutir à une autre conclusion quant à l'actionnariat de ces sociétés. C'est donc à bon droit que le Tribunal a retenu le fait que F______ était l'unique actionnaire de la SI E______ et de C______ SA.</w:t>
      </w:r>
    </w:p>
    <w:p>
      <w:r>
        <w:t>- 12/18 -</w:t>
      </w:r>
    </w:p>
    <w:p>
      <w:r>
        <w:t>C/15474/2022</w:t>
      </w:r>
    </w:p>
    <w:p>
      <w:r>
        <w:rPr>
          <w:b/>
        </w:rPr>
        <w:t>E. 3.2.2</w:t>
      </w:r>
    </w:p>
    <w:p>
      <w:r>
        <w:t>Concernant la possibilité d'effectuer un calcul de rendement, la situation de l'immeuble est en l'espèce particulière en ce sens que si sa construction est relativement récente (2004), le terrain sur lequel il est érigé comprend différents immeubles dont la plupart sont anciens, datant des années 1950-1960, et a fait l'objet de différents transferts de propriété. Pour rappel, c'est à l'origine la SI E______ qui était propriétaire de la parcelle n° 2______. Au moment de l'acquisition de celle-ci, F______ n'était pas encore impliqué dans cette société. Ce n'est qu'en 1989, soit près de quarante ans plus tard, qu'il en est devenu actionnaire et, en 1994, actionnaire unique. Le terrain est ensuite passé, en 1998, en mains de F______, en personne, puis à la société bailleresse en 2020. La question pertinente est celle de savoir si le prix de revient de l'immeuble assumé par la bailleresse, qui comprend principalement le coût du terrain et celui de la construction, peut être connu ou déterminé en fonction des transferts de propriété qui ont eu lieu en 1994, 1998 et 2020.</w:t>
      </w:r>
    </w:p>
    <w:p>
      <w:r>
        <w:t>La dernière acquisition de l'immeuble par la bailleresse en 2020 n'est pas susceptible de fournir des indications quant au prix de revient de l'immeuble dans la mesure où l'opération financière consistait en un transfert global de patrimoine entre F______ et la société bailleresse. Dans le cadre de ce transfert, aucun prix individualisé par immeuble n'a été déterminé et le terrain n'a pas non plus été évalué, la cession ayant eu lieu en bloc sur l'ensemble du patrimoine de F______. De plus, ce transfert s'inscrivait dans la perspective d'une succession et n'impliquait pas de tiers acquéreur puisque le transférant demeurait lui-même actionnaire unique de la société bailleresse, de sorte cette transaction ne reflète pas les conditions économiques ordinaires de vente. Dans ce contexte, on ne saurait en extraire une quelconque valeur de l'immeuble situé au numéro 5______/bis, respectivement du terrain y relatif. Le prix d'acquisition de l'immeuble ne peut pas non plus être déduit de l'opération de liquidation de la SI E______ impliquant la cession de la parcelle n° 2______ à F______ intervenue en 1998. Bien qu'un montant de 3'400'000 fr. figure à ce titre dans la réquisition au Registre foncier, ce prix comprend de manière globale l'ensemble des actifs détenus par la société, dont les trois immeubles datant des années 1946-1960, et ne distingue pas le prix du terrain ni celui des constructions existantes, étant de surcroît relevé qu'à cette période l'immeuble qui accueille l'appartement litigieux n'existait pas encore. Le prix de cession ne reflète ainsi pas la réalité économique actuelle, ni la valeur de l'immeuble - qui n'existait pas - ni celle du terrain.</w:t>
      </w:r>
    </w:p>
    <w:p>
      <w:r>
        <w:t>Enfin, le prix d'achat des actions de la SI E______ ne peut pas non plus être pris comme référence puisque, selon la doctrine et jurisprudence, le prix de vente des</w:t>
      </w:r>
    </w:p>
    <w:p>
      <w:r>
        <w:t>- 13/18 -</w:t>
      </w:r>
    </w:p>
    <w:p>
      <w:r>
        <w:t>C/15474/2022 actions d'une société immobilière ne peut pas être considéré comme la valeur d'achat de l'immeuble dont elle est propriétaire (cf. consid. 3.1.3 supra). Contrairement à ce que soutiennent les appelants, on ne saurait se fonder sur les documents comptables, tels que les bilans des sociétés, pour déterminer le prix d'acquisition du terrain, dès lors que les valeurs comptables ne reflètent pas nécessairement les coûts d'investissements effectifs, ce d'autant plus dans le cas d'espèce où la parcelle a été acquise il a plusieurs décennies et transmise dans le cadre de transferts globaux de patrimoine. En définitive, le coût d'acquisition de l'immeuble où se situe l'appartement litigieux ou du terrain y relatif ne peuvent être déterminés de manière suffisamment fiable, compte tenu des spécificités du cas d'espèce et des divers transferts de propriété, intervenus de manière globale et dans des contextes particuliers de réorganisation de patrimoine. Compte tenu de ce qui précède, le Tribunal était fondé à retenir que le calcul de rendement n'était pas réalisable en l'espèce et, partant, à écarter son application au profit des statistiques. C'est dès lors sans violer la maxime inquisitoire et en usant de son pouvoir d'appréciation anticipée des preuves que le Tribunal n'a pas ordonné la production de l'ensemble des pièces requises par les appelants, considérant qu'elles n'apporteraient pas les éléments nécessaires audit calcul. Pour les mêmes motifs, la conclusion préalable en production de pièces formée par les appelants devant la Cour sera rejetée. L'appel sera en conséquence infondé sur ces points.</w:t>
      </w:r>
    </w:p>
    <w:p>
      <w:r>
        <w:rPr>
          <w:b/>
        </w:rPr>
        <w:t>E. 4</w:t>
      </w:r>
    </w:p>
    <w:p>
      <w:r>
        <w:t>Les appelants contestent le montant du loyer fixé par le Tribunal sur la base des statistiques genevoises. Selon eux, le Tribunal aurait dû se baser uniquement sur les statistiques cantonales en prenant en considération un appartement de 4 pièces et non de 6 pièces.</w:t>
      </w:r>
    </w:p>
    <w:p>
      <w:r>
        <w:t>4.1.1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doit procéder à des comparaisons concrètes, à la lumière des critères de l'art. 11 OBLF. La détermination des loyers usuels ne peut pas s'effectuer sur la base d'une « impression d'ensemble ». Pour pouvoir tirer des conclusions qui offrent quelque sécurité, le juge doit pouvoir se fonder soit sur des statistiques officielles (art. 11 al. 4 OBLF), soit sur au minimum cinq logements</w:t>
      </w:r>
    </w:p>
    <w:p>
      <w:r>
        <w:t>- 14/18 -</w:t>
      </w:r>
    </w:p>
    <w:p>
      <w:r>
        <w:t>C/15474/2022 de comparaison (ATF 141 III 569 consid. 2.2.1; arrêt du Tribunal fédéral 4A_295/2016 du 29 novembre 2016 consid. 5.2).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(ACJC/684/2020 du 25 mai 2020 consid. 3.1;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(ACJC/1303/2007 consid. 3.5; ACJC/812/2010 du 21 juin 2010 consid. 4.1.). Le Tribunal fédéral a confirmé que cette pondération des statistiques genevoises n'est pas arbitraire (arrêt du Tribunal fédéral 4A_3/2011 du 28 février 2011 consid. 5.2). 4.1.2 De jurisprudence constante, la pièce d’un logement doit comporter au minimum 9 m2 et disposer d’un jour vertical sur l’extérieur, par référence à l’article 52 al. 1 et 2 LCI. Les espaces dont la surface est comprise entre 6 et 9 m2 ne comptent que comme une demi-pièce (ACJC/186/2010 du 15 février 2010). Il n'est en outre pas exclu que certaines pièces, particulièrement vastes (50 m2 dans la jurisprudence mentionnée), entrent en compte pour plus d'une unité (ACJC/158/2015 du 16 février 2015). Les salles de bains, les toilettes, les caves, les halls, les corridors et les terrasses ne sont pas pris en considération (ACJC/186/2010 du 15 février 2010; ACJC/655/2013 du 27 mai 2013; LACHAT, Le bail à loyer, 2019, p. 134 ; BOHNET/CARRON/MONTINI, Droit du bail à loyer et à ferme, 2017, n. 11 ad art. 253b CO). S'agissant du vide d'étages, la jurisprudence retient que même si la présence d'un vide d'étage inférieur à 2.40 mètres ne permet pas, selon la LCI et son règlement d'application, que des pièces soient utilisées à des fins de chambre à coucher, de bureau ou de salle de séjour, tout usage inhérent à l'habitation n'est en revanche pas proscrit, de sorte qu'elles peuvent être comptabilisées comme pièces (ACJC/655/2013 du 27 mai 2013; arrêt du Tribunal fédéral 4A_173/2010 du 22 juin 2010).</w:t>
      </w:r>
    </w:p>
    <w:p>
      <w:r>
        <w:t>- 15/18 -</w:t>
      </w:r>
    </w:p>
    <w:p>
      <w:r>
        <w:t>C/15474/2022 4.1.3 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faire l'objet d'une réduction du loyer (cf. art. 259a al. 1 let. b et 259d CO), de sorte qu'il ne se justifie pas d'en tenir compte, faute de quoi les locataires pourraient obtenir une réduction à double (ACJC/1533/2023 du 20 novembre 2023, consid. 5.3). 4.2.1 En l'espèce, le Tribunal a procédé à une moyenne de deux statistiques publiées par l’OCSTAT, soit le loyer mensuel moyen en fonction du nombre de pièces, de la nature du logement et du statut du bail en mai 2022 pour des logements à loyer libre de 6 pièces loués à de nouveaux locataires (2'929 fr.) (T 05.04.2.02) et le loyer mensuel moyen par pièce et par appartement pour un logement de 6 pièces à loyer libre situé dans la commune de D______ pour l'année 2022 (1'983 fr.). Ce procédé est conforme à la jurisprudence de la Cour de céans rendue en la matière. En effet, en l'absence, comme en l'espèce, d'informations relatives aux loyers comparatifs et d'éléments chiffrés permettant un calcul de rendement, il est admis de s'appuyer sur les statistiques cantonales même si elles ne sont pas complètes au sens de l'art. 11 OBLF. Par ailleurs, en tenant compte d'une valeur moyenne résultant des deux statistiques de l'OCSTAT, le Tribunal a pondéré le premier résultat par la prise en compte de la localisation de l'appartement sur la commune de D______. Le critère de l'emplacement a ainsi été expressément pris en considération. La méthode opérée par le Tribunal n'est dès lors pas critiquable. Le jugement sera confirmé sur ce point. 4.2.2 Les appelants reprochent au Tribunal d'avoir pris en compte un appartement de 6 pièces pour établir le loyer admissible sur la base des statistiques. Ils soutiennent que leur logement comprendrait non pas 6 pièces, mais 4 pièces. L'appartement dispose de trois chambres, d'une cuisine de plus de 9m2, d'un salon de 25m2 et d'une mezzanine de 35m2. Conformément à la jurisprudence susmentionnée, la cuisine, qui dispose d'une taille suffisante, d'une fenêtre et d'un aménagement standard, selon les constations du Tribunal, constitue une pièce. Il en va de même de la mezzanine, qui constitue un espace séparé d'une surface non négligeable de 35m2, étant précisé que la hauteur était suffisante pour s'y tenir debout partout. Les plans de l'appartement, visés par la police des constructions, confirment d'ailleurs qu'il s'agit d'un 6 pièces.</w:t>
      </w:r>
    </w:p>
    <w:p>
      <w:r>
        <w:t>- 16/18 -</w:t>
      </w:r>
    </w:p>
    <w:p>
      <w:r>
        <w:t>C/15474/2022 C'est en vain que les appelants tentent de se prévaloir de l'art. 7 let a (recte art. 1 al. 7 let a) du Règlement d’exécution de la loi générale sur le logement et la protection des locataires (RGL/GE – I 4 05.01) pour calculer le nombre de pièces de leur appartement. Cette disposition fait référence aux pièces "distinctes", ce qui n'est pas synonyme et n'équivaut pas nécessairement au nombre de pièces d'un logement. Par conséquent, on ne saurait se fonder sur les critères de cette disposition pour calculer le nombre de pièces de l'appartement des appelants. C'est donc à juste titre que le Tribunal a considéré que l'appartement litigieux était un 6 pièces genevois.</w:t>
      </w:r>
    </w:p>
    <w:p>
      <w:r>
        <w:rPr>
          <w:b/>
        </w:rPr>
        <w:t>E. 4.3</w:t>
      </w:r>
    </w:p>
    <w:p>
      <w:r>
        <w:t>Par conséquent, les griefs des appelants étant infondés, le jugement sera confirmé en tant qu'il porte sur le loyer admissible établi par le Tribunal.</w:t>
      </w:r>
    </w:p>
    <w:p>
      <w:r>
        <w:rPr>
          <w:b/>
        </w:rPr>
        <w:t>E. 5</w:t>
      </w:r>
    </w:p>
    <w:p>
      <w:r>
        <w:t>Les parties contestent toutes les deux la réduction de loyer de 10% prononcée par le Tribunal en lien avec le défaut de chauffage. Les appelants la trouvent insuffisante et réclament une réduction de l'ordre de 30%, tandis que l'intimée conteste toute réduction, motif pris de ce que le défaut n'aurait pas été prouvé.</w:t>
      </w:r>
    </w:p>
    <w:p>
      <w:r>
        <w:t>5.1.1 Conformément aux art. 259a ss CO, lorsqu'apparaissent des défauts qui ne sont pas imputables au locataire et auxquels il ne doit pas remédier à ses frais, ou lorsque le locataire est empêché d'user de la chose conformément au contrat, il peut exiger du bailleur, entre autres, la remise en état de la chose (let. a) ou une réduction proportionnelle du loyer (let. b).</w:t>
      </w:r>
    </w:p>
    <w:p>
      <w:r>
        <w:t>La réduction de loyer ne suppose pas que le défaut soit imputable au bailleur. Celui-ci doit réduire le loyer même lorsqu'il n'est pas responsable de la survenance du défaut (LACHAT, op. cit., p. 304). 5.1.2 Pour apprécier une réduction de loyer,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LACHAT/RUBLI, le bail à loyer, 2019,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 FAVRE, Le droit suisse du bail à loyer, 2011, p. 244; arrêt du Tribunal fédéral 4C_219/2005 du 24 octobre 2005 consid. 2.3 et 2.4).</w:t>
      </w:r>
    </w:p>
    <w:p>
      <w:r>
        <w:t>- 17/18 -</w:t>
      </w:r>
    </w:p>
    <w:p>
      <w:r>
        <w:t>C/15474/2022</w:t>
      </w:r>
    </w:p>
    <w:p>
      <w:r>
        <w:t>La pratique reconnaît au juge un large pouvoir d'appréciation dans la détermination de la quotité de réduction du loyer (LACHAT/RUBLI, op. cit., p. 316).</w:t>
      </w:r>
    </w:p>
    <w:p>
      <w:r>
        <w:t>5.1.3 De manière générale, les tribunaux suisses ont accordé des réductions de loyer oscillant entre 5% et 20% en cas de températures insuffisantes dans des locaux d’habitation (ATF 130 III 504; arrêt du Tribunal fédéral 4A_174/2009 du</w:t>
      </w:r>
    </w:p>
    <w:p>
      <w:r>
        <w:rPr>
          <w:b/>
        </w:rPr>
        <w:t>E. 5.2</w:t>
      </w:r>
    </w:p>
    <w:p>
      <w:r>
        <w:t>En l'espèce, l'intimée ne peut être suivie lorsqu'elle prétend que le défaut n'aurait pas été suffisamment prouvé dans la mesure où elle a admis l'allégué n° 20 de ses parties adverses aux termes duquel ces dernières alléguaient que le chauffage ne fonctionnait pas à la prise de bail et ce jusqu'au 1er mars 2023, et qu'elle a, en outre, elle-même expressément déclaré que "la problématique du chauffage [était] reconnue" lors de l'audience du 6 novembre 2023. L'intimée ne saurait revenir devant la Cour sur un fait qu'elle a expressément admis à plusieurs reprises devant le Tribunal, sous peine d'adopter un comportement contraire à bonne foi.</w:t>
      </w:r>
    </w:p>
    <w:p>
      <w:r>
        <w:t>Quant à la quotité de la réduction, les 10% prononcés par le Tribunal s'inscrivent dans la "fourchette" admise par la jurisprudence et paraissent adéquats au vu de la nuisance occasionnée et de l'entrave à l'usage de la chose. Il n'est pas démontré que les nuisances atteignaient une intensité telle qu'elle justifierait une réduction plus importante.</w:t>
      </w:r>
    </w:p>
    <w:p>
      <w:r>
        <w:t>Le jugement sera confirmé sur ce point également. 6. Au vu de ce qui précède, le jugement sera confirmé dans son intégralité.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C/15474/2022 PAR CES MOTIFS, La Chambre des baux et loyers : A la forme : Déclare recevables l'appel interjeté le 18 juin 2024 par A______ et B______ ainsi que l'appel joint formé le 16 août 2024 par C______ SA contre le jugement JTBL/510/2024 rendu le 13 mai 2024 par le Tribunal des baux et loyers dans la cause C/15474/2022-1. Au fond : Confirme ce jugement. Dit que la procédure est gratuite. Déboute les parties de toutes autres conclusions. Siégeant : Madame Nathalie LANDRY-BARTHE, présidente; Madame Sylvie DROIN, Monsieur Laurent RIEBEN, juges; Madame Zoé SEILER, Monsieur Damien TOURNAIRE,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8</w:t>
      </w:r>
    </w:p>
    <w:p>
      <w:r>
        <w:t>juillet 2009 consid. 4.2; ACJC/38/2009 consid. 5.1). Plus spécialement, une réduction de loyer de 10% a été retenue pour une température insuffisante durant la saison froide (ACJC/1078/2024 consid. 5.2; ACJC/659/2013 consid. 8.3; ACJC/38/2009 consid. 5.2; ACJC/290/2005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