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ACJC/196/2022 vom 11. Februar 2022</w:t>
      </w:r>
    </w:p>
    <w:p>
      <w:r>
        <w:t>GE Cour de justice, 2022-02-11, FR</w:t>
      </w:r>
    </w:p>
    <w:p>
      <w:r>
        <w:rPr>
          <w:b/>
        </w:rPr>
        <w:t xml:space="preserve">Quelle: </w:t>
      </w:r>
      <w:r>
        <w:t>https://mcp.opencaselaw.ch/entscheid/ge_gerichte_ACJC_196_2022</w:t>
      </w:r>
    </w:p>
    <w:p>
      <w:r>
        <w:t>FR: GE_GERICHTE ACJC/196/2022 du 11 février 2022</w:t>
      </w:r>
    </w:p>
    <w:p>
      <w:r>
        <w:t>IT: GE_GERICHTE ACJC/196/2022 del 11 febbraio 2022</w:t>
      </w:r>
    </w:p>
    <w:p>
      <w:pPr>
        <w:pStyle w:val="Heading2"/>
      </w:pPr>
      <w:r>
        <w:t>Erwägungen</w:t>
      </w:r>
    </w:p>
    <w:p>
      <w:r>
        <w:rPr>
          <w:b/>
        </w:rPr>
        <w:t>E. 1</w:t>
      </w:r>
    </w:p>
    <w:p>
      <w:r>
        <w:t>CPC).</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w:t>
      </w:r>
    </w:p>
    <w:p>
      <w:r>
        <w:rPr>
          <w:b/>
        </w:rPr>
        <w:t>E. 1.2</w:t>
      </w:r>
    </w:p>
    <w:p>
      <w:r>
        <w:t>En l'espèce, les appels ont été introduits en temps utile, selon la forme prescrite par la loi (art. 311 al. 1 CPC). Ils sont donc recevables. A______ sera désignée comme l'appelante, et B______ comme l'intimé.</w:t>
      </w:r>
    </w:p>
    <w:p>
      <w:r>
        <w:t>- 5/9 -</w:t>
      </w:r>
    </w:p>
    <w:p>
      <w:r>
        <w:t>C/5125/2021</w:t>
      </w:r>
    </w:p>
    <w:p>
      <w:r>
        <w:rPr>
          <w:b/>
        </w:rPr>
        <w:t>E. 1.3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2</w:t>
      </w:r>
    </w:p>
    <w:p>
      <w:r>
        <w:t>L'appelante fait grief au Tribunal d'avoir retenu au titre de l'abonnement général CFF la somme de 282 fr. au lieu de 322 fr. (3'860 fr. / 12, montant arrondi). Elle subirait dès lors un déficit de 522 fr. par mois. Après couverture de ce dernier, elle a droit à la moitié de l'excédent. Elle soutient qu'il est notoire que la charge fiscale de l'intimé sera inférieure à 1'300 fr., en tenant compte de la contribution d'entretien.</w:t>
      </w:r>
    </w:p>
    <w:p>
      <w:r>
        <w:t>L'intimé reproche au Tribunal d'avoir procédé à la répartition de l'excédent, alors qu'il a 64 ans, que l'appelante n'a que 50 ans et qu'elle pourrait trouver un emploi mieux rémunéré, qu'il paie la nourriture de sa fille et ne réclame à celle-ci aucun montant au titre de loyer. L'appelante dispose d'une voiture de sorte qu'il n'y a pas lieu de tenir compte du prix d'un abonnement général CFF, le montant retenu à ce titre par le Tribunal étant au demeurant correct.</w:t>
      </w:r>
    </w:p>
    <w:p>
      <w:r>
        <w:rPr>
          <w:b/>
        </w:rPr>
        <w:t>E. 2.1</w:t>
      </w:r>
    </w:p>
    <w:p>
      <w:r>
        <w:t>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du Tribunal fédéral 5A_304/2013 du 1er novembre 2013 consid. 4.1; 5A_710/2009 du 22 février 2010 consid.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du Tribunal fédéral 5A_547/2012 du 14 mars 2013 consid. 4.1). Le Tribunal fédéral a récemment arrêté, pour toute la Suisse, une méthode uniforme de fixation de l'entretien - soit la méthode du minimum vital avec répartition de l'excédent dite en deux étapes (arrêts du Tribunal fédéral</w:t>
      </w:r>
    </w:p>
    <w:p>
      <w:r>
        <w:t>- 6/9 -</w:t>
      </w:r>
    </w:p>
    <w:p>
      <w:r>
        <w:t>C/5125/2021 5A_311/2019 du 11 novembre 2020; 5A_891/2018 du 2 février 2021 et 5A_800/2019 du 9 février 2021 destinés à la publication). Selon cette méthode, on examine les revenus effectifs et les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(cf. arrêt du Tribunal fédéral 5A_311/2019 précité consid. 7). Seules les charges effectives, dont le débirentier ou le crédirentier s'acquitte réellement doivent être prises en compte (ATF 140 III 337 consid. 4.2.3 ; arrêt du Tribunal fédéral 5A_405/2019 du 24 février 2020 consid. 5.2 et les références).</w:t>
      </w:r>
    </w:p>
    <w:p>
      <w:r>
        <w:t>L'obligation d'entretien du conjoint l'emporte sur celle de l'enfant majeur (ATF 132 III 209 consid. 2.3; arrêt du Tribunal fédéral 5A_36/2016 du 29 mars 2016 consid. 4.1). La détermination de la quotité de la contribution d'entretien relève du pouvoir d'appréciation du juge, qui applique les règles du droit et de l'équité (art. 4 CC).</w:t>
      </w:r>
    </w:p>
    <w:p>
      <w:r>
        <w:rPr>
          <w:b/>
        </w:rPr>
        <w:t>E. 2.2</w:t>
      </w:r>
    </w:p>
    <w:p>
      <w:r>
        <w:t>En l'espèce, il est exact que l'abonnement général CFF coûte 3'860 fr., alors qu'il était de 3'385 fr. en 2020. Cela étant, l'appelante n'a produit aucune pièce justifiant qu'elle s'est effectivement acquittée de ce montant, de sorte qu'il n'en sera pas tenu compte. L'appelante n'ayant fourni aucune explication sur les raisons de son déménagement à G______, ni sur son lieu de travail et les moyens de transport utilisés, seul un montant de 70 fr. sera pris en compte à titre de frais de transport, montant allégué initialement devant le premier juge. En conséquence, ses charges seront arrêtées à 4'461 fr. (4'673 fr. – 282 fr. + 70 fr.), soit un disponible de 595 fr.</w:t>
      </w:r>
    </w:p>
    <w:p>
      <w:r>
        <w:t>Il n'y a pas lieu à ce stade de tenir compte d'une charge fiscale inférieure pour l'intimé, estimée par ce dernier sur la base de la calculette fournie par l'Etat, l'appelante ne fournissant aucun élément concret à cet égard et ne s'y étant pas opposée en première instance.</w:t>
      </w:r>
    </w:p>
    <w:p>
      <w:r>
        <w:t>C'est en vain que l'intimé soutient que l'appelante pourrait réaliser un revenu plus élevé. Il ne fournit d'ailleurs aucun élément concret à cet égard. En tout état, au stade des mesures protectrices, il y a lieu de s'en tenir à la situation effective des parties.</w:t>
      </w:r>
    </w:p>
    <w:p>
      <w:r>
        <w:t>Enfin, l'entretien du conjoint passe avant celui de l'enfant majeur, de sorte que les arguments de l'intimé pour s'opposer au paiement de toute contribution tombent à faux, étant cependant relevé que le Tribunal a retenu dans les charges de l'intimé</w:t>
      </w:r>
    </w:p>
    <w:p>
      <w:r>
        <w:t>- 7/9 -</w:t>
      </w:r>
    </w:p>
    <w:p>
      <w:r>
        <w:t>C/5125/2021 certaines de celles de l'enfant majeure, sans que cela soit contesté en appel par l'appelante.</w:t>
      </w:r>
    </w:p>
    <w:p>
      <w:r>
        <w:t>En conclusion, l'excédent des parties totalise 1'944 fr. (595 fr. + 1'349 fr.), soit 972 fr. pour chaque partie. Après déduction du montant de 595 fr., l'appelante a droit à une contribution qui sera arrêtée à 380 fr. (montant arrondi). Le dies a quo n'étant pas remis en cause, il sera confirmé. Le chiffre 2 du jugement sera annulé et modifié dans ce sens.</w:t>
      </w:r>
    </w:p>
    <w:p>
      <w:r>
        <w:rPr>
          <w:b/>
        </w:rPr>
        <w:t>E. 3</w:t>
      </w:r>
    </w:p>
    <w:p>
      <w:r>
        <w:t>L'intimé conclut à la mise des frais de première instance à la charge de l'appelante, sans aucune motivation.</w:t>
      </w:r>
    </w:p>
    <w:p>
      <w:r>
        <w:t>La quotité et la répartition des frais de première instance, conforme à la loi, sera dès lors confirmée.</w:t>
      </w:r>
    </w:p>
    <w:p>
      <w:r>
        <w:t>Chaque partie supportera ses frais d'appel, arrêtés à 800 fr. pour l'appelante et à 1'000 fr. pour l'intimé, au vu de la solution et de la nature du litige. Ceux-ci seront compensés avec les avances fournies, acquises à l'Etat.</w:t>
      </w:r>
    </w:p>
    <w:p>
      <w:r>
        <w:t>Pour les mêmes raisons, chaque partie supportera ses propres dépens d'appel. * * * * *</w:t>
      </w:r>
    </w:p>
    <w:p>
      <w:r>
        <w:t>- 8/9 -</w:t>
      </w:r>
    </w:p>
    <w:p>
      <w:r>
        <w:t>C/5125/2021</w:t>
      </w:r>
    </w:p>
    <w:p>
      <w:r>
        <w:t>PAR CES MOTIFS, La Chambre civile : A la forme : Déclare recevables les appels interjetés par A______ et B______ contre le jugement JTPI/10109/2021 rendu le 9 août 2021 par le Tribunal de première instance dans la cause C/5125/2021-1. Au fond : Annule le chiffre 2 du dispositif de ce jugement. Cela fait, statuant à nouveau sur ce point : Condamne B______ à verser en mains de A______, par mois et d’avance, 380 fr., à compter du mois de mars 2021 au titre de la contribution à son entretien. Confirme le jugement pour le surplus. Déboute les parties de toutes autres conclusions. Sur les frais : Arrête les frais judiciaires de l'appel, mis à la charge de A______, à 800 fr., et ceux de l'appel, mis à la charge de B______, à 1'000 fr. et dit qu'ils sont compensés avec les avances fournies, acquises à l'Etat de Genève. Dit que chaque partie supportera ses frais judiciaires et ses dépens d'appel. Siégeant : Monsieur Cédric-Laurent MICHEL, président; Madame Pauline ERARD, Madame Paola CAMPOMAGNANI, juges; Madame Sandra CARRIER, greffière.</w:t>
      </w:r>
    </w:p>
    <w:p>
      <w:r>
        <w:t>Le président : Cédric-Laurent MICHEL</w:t>
      </w:r>
    </w:p>
    <w:p>
      <w:r>
        <w:t>La greffière : Sandra CARRIER</w:t>
      </w:r>
    </w:p>
    <w:p>
      <w:r>
        <w:t>- 9/9 -</w:t>
      </w:r>
    </w:p>
    <w:p>
      <w:r>
        <w:t>C/5125/2021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