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ACJC/196/2019 vom 19. Februar 2019</w:t>
      </w:r>
    </w:p>
    <w:p>
      <w:r>
        <w:t>GE Cour de justice, 2019-02-19, FR</w:t>
      </w:r>
    </w:p>
    <w:p>
      <w:r>
        <w:rPr>
          <w:b/>
        </w:rPr>
        <w:t xml:space="preserve">Quelle: </w:t>
      </w:r>
      <w:r>
        <w:t>https://mcp.opencaselaw.ch/entscheid/ge_gerichte_ACJC_196_2019</w:t>
      </w:r>
    </w:p>
    <w:p>
      <w:r>
        <w:t>FR: GE_GERICHTE ACJC/196/2019 du 19 février 2019</w:t>
      </w:r>
    </w:p>
    <w:p>
      <w:r>
        <w:t>IT: GE_GERICHTE ACJC/196/2019 del 19 febbraio 2019</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t>- 5/8 -</w:t>
      </w:r>
    </w:p>
    <w:p>
      <w:r>
        <w:t>C/7659/2018</w:t>
      </w:r>
    </w:p>
    <w:p>
      <w:r>
        <w:rPr>
          <w:b/>
        </w:rPr>
        <w:t>E. 2.2</w:t>
      </w:r>
    </w:p>
    <w:p>
      <w:r>
        <w:t>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w:t>
      </w:r>
    </w:p>
    <w:p>
      <w:r>
        <w:t>Le recourant reproche au Tribunal d'avoir violé l'art. 80 LP en prononçant la mainlevée définitive de l'opposition au commandement de payer.</w:t>
      </w:r>
    </w:p>
    <w:p>
      <w:r>
        <w:rPr>
          <w:b/>
        </w:rPr>
        <w:t>E. 3.1</w:t>
      </w:r>
    </w:p>
    <w:p>
      <w:r>
        <w:t>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précité).</w:t>
      </w:r>
    </w:p>
    <w:p>
      <w:r>
        <w:rPr>
          <w:b/>
        </w:rPr>
        <w:t>E. 3.2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3.3</w:t>
      </w:r>
    </w:p>
    <w:p>
      <w:r>
        <w:t>Selon la jurisprudence du Tribunal fédéral et la doctrine, lorsque la poursuite tend au recouvrement de prestations périodiques (contributions d'entretien, salaires, loyers, etc.), la réquisition de poursuite doit indiquer avec précision les périodes pour lesquelles ces prestations sont réclamées, de façon à ce que le juge de la mainlevée puisse examiner l'exigibilité de chacune d'elle. A défaut, la requête de mainlevée doit être rejetée (ATF 141 III 173 consid. 2.2.2 et les références citées; ABBET, La mainlevée d'opposition, 2017, n. 25 ad art. 80 LP et les références citées).</w:t>
      </w:r>
    </w:p>
    <w:p>
      <w:r>
        <w:t>En cas de désignation incomplète, inexacte ou ambiguë, le tribunal doit interpeller le demandeur ou lui fixer un délai de rectification selon l'art. 132 CPC, sauf si l'inexactitude n'entraîne aucun risque de confusion, de sorte que le juge devrait la</w:t>
      </w:r>
    </w:p>
    <w:p>
      <w:r>
        <w:t>- 6/8 -</w:t>
      </w:r>
    </w:p>
    <w:p>
      <w:r>
        <w:t>C/7659/2018 rectifier d'office (ATF 131 I 57; BOHNET, Code de procédure civile commenté, 2ème éd., 2019, n. 7 ad art. 252 CPC, n. 24 ad art. 132 CPC).</w:t>
      </w:r>
    </w:p>
    <w:p>
      <w:r>
        <w:rPr>
          <w:b/>
        </w:rPr>
        <w:t>E. 3.4</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Cette disposition s'applique également à l'entretien de l'enfant (ACJC/1847/2018 du 21 décembre 2018 consid. 7.5). Le juge du divorce peut décider de fixer le dies a quo au moment où le jugement de divorce est entré en force de chose jugée partielle, à savoir lorsque le principe du divorce n'est plus remis en cause (ATF 128 III 121 consid. 3b/bb). Cela vaut aussi lorsque le juge des mesures provisionnelles a ordonné le versement d'une contribution d'entretien qui va au-delà de l'entrée en force partielle (ATF 128 III 121 consid. 3c/aa).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w:t>
      </w:r>
    </w:p>
    <w:p>
      <w:r>
        <w:rPr>
          <w:b/>
        </w:rPr>
        <w:t>E. 3.5</w:t>
      </w:r>
    </w:p>
    <w:p>
      <w:r>
        <w:t>Dans le cas d'espèce, il est constant qu'un jugement de mesures protectrices de l'union conjugale a été rendu en 2013, donnant acte et condamnant en tant que de besoin le recourant à verser la somme de 600 fr. par mois à titre de contribution à l'entretien de sa fille, dès le mois d'octobre 2013. A la suite de la demande en divorce formée par le recourant, le Tribunal de première instance a, par jugement de divorce du 18 février 2016, supprimé la contribution d'entretien, compte tenu de la garde alternée sur l'enfant instaurée par ledit jugement. Aucune décision sur mesures provisionnelles n'a été rendue par le Tribunal. Par arrêt du 9 juin 2017, la Cour a attribué la garde de l'enfant à sa mère et a condamné le recourant à verser une contribution à l'entretien de sa fille de 600 fr. par mois dès l'entrée en force de la décision. Contrairement à ce que soutient le recourant, la contribution à l'entretien de l'enfant n'a pas été supprimée pendant la procédure de divorce. La Cour a en effet retenu, dans ses considérants (6.1.3 in fine) que l'enfant ne subissait aucun préjudice du maintien des effets du jugement sur mesures protectrices de l'union conjugale, pendant la procédure de divorce. Conformément à la jurisprudence rappelée ci-avant, les mesures protectrices restent en vigueur jusqu'à ce qu'elles soient modifiées, par décision du juge du divorce. Il s'ensuit que la somme de 600 fr. était due par le recourant, à titre de</w:t>
      </w:r>
    </w:p>
    <w:p>
      <w:r>
        <w:t>- 7/8 -</w:t>
      </w:r>
    </w:p>
    <w:p>
      <w:r>
        <w:t>C/7659/2018 contribution à l'entretien de sa fille, et fondée sur le jugement de mesures protectrices de l'union conjugale, jusqu'à l'entrée en force de l'arrêt de la Cour du 9 juin 2017, soit jusqu'à la mi-juillet 2017. Pour la période subséquente, la somme de 600 fr. est due selon l'arrêt de la Cour précité. Par conséquent, c'est à bon droit que le Tribunal de première instance a prononcé la mainlevée définitive de l'opposition formée au commandement de payer. Partant, le recours sera rejeté.</w:t>
      </w:r>
    </w:p>
    <w:p>
      <w:r>
        <w:rPr>
          <w:b/>
        </w:rPr>
        <w:t>E. 4</w:t>
      </w:r>
    </w:p>
    <w:p>
      <w:r>
        <w:t>Les frais judiciaires du recours seront arrêtés à 600 fr. (art. 48 et 62 OELP) et seront mis à la charge du recourant, qui succombe (art. 106 CPC). Ils seront compensés avec l'avance de frais fournie par le recourant, acquise à l'Etat de Genève (art. 111 al. 1 CPC). Il ne sera pas alloué de dépens à l'intimée, qui comparaît en personne, les démarches effectuées ne le justifiant pas (art. 95 al. 3 let. c CPC a contrario). * * * * *</w:t>
      </w:r>
    </w:p>
    <w:p>
      <w:r>
        <w:t>- 8/8 -</w:t>
      </w:r>
    </w:p>
    <w:p>
      <w:r>
        <w:t>C/7659/2018 PAR CES MOTIFS, La Chambre civile : A la forme : Déclare recevable le recours interjeté le 25 octobre 2018 par A______ contre le jugement JTPI/15771/2018 rendu le 9 octobre 2018 par le Tribunal de première instance dans la cause C/7659/2018-8 SML. Au fond : Rejette ce recours. Déboute les parties de toutes autres conclusions. Sur les frais : Arrête les frais judiciaires du recours à 600 fr., les met à la charge de A______ et les compense avec l'avance de frais fournie par lui, acquise à l'Etat de Genève.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