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ACJC/192/2019 vom 11. Februar 2019</w:t>
      </w:r>
    </w:p>
    <w:p>
      <w:r>
        <w:t>GE Cour de justice, 2019-02-11, FR</w:t>
      </w:r>
    </w:p>
    <w:p>
      <w:r>
        <w:rPr>
          <w:b/>
        </w:rPr>
        <w:t xml:space="preserve">Quelle: </w:t>
      </w:r>
      <w:r>
        <w:t>https://mcp.opencaselaw.ch/entscheid/ge_gerichte_ACJC_192_2019</w:t>
      </w:r>
    </w:p>
    <w:p>
      <w:r>
        <w:t>FR: GE_GERICHTE ACJC/192/2019 du 11 février 2019</w:t>
      </w:r>
    </w:p>
    <w:p>
      <w:r>
        <w:t>IT: GE_GERICHTE ACJC/192/2019 del 11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arrêt du Tribunal fédéral 4A_594/2012 du 28 février 2013; JEANDIN, Commentaire romand Code de procédure civile, Bâle, 2ème éd. 2019, n. 13 ad art. 308 CPC).</w:t>
      </w:r>
    </w:p>
    <w:p>
      <w:r>
        <w:t>Si les conditions pour ordonner une expulsion selon la procédure sommaire en protection des cas clairs sont contestées, la valeur litigieuse correspond à la valeur locative ou à la valeur d'usage hypothétiquement perdue pendant la durée prévisible d'un procès en procédure ordinaire permettant d'obtenir une décision d'expulsion, laquelle peut être estimée à six mois (arrêt du Tribunal fédéral 4A_565/2017 du 11 juillet 2017, destiné à la publication, consid. 1.2.1).</w:t>
      </w:r>
    </w:p>
    <w:p>
      <w:r>
        <w:t>Dans le cas d'espèce, la valeur litigieuse fixée sur la base du loyer convenu s'élève à 33'600 fr. (5'600 fr. x 6 mois), et est donc supérieure à 10'000 fr., de sorte que la voie de l'appel est ouverte.</w:t>
      </w:r>
    </w:p>
    <w:p>
      <w:r>
        <w:rPr>
          <w:b/>
        </w:rPr>
        <w:t>E. 1.2</w:t>
      </w:r>
    </w:p>
    <w:p>
      <w:r>
        <w:t>L'appel ayant été formé dans le délai et selon la forme prescrits par la loi (art. 130, 131, 142 al. 3, 314 al. 1 CPC), il est recevable.</w:t>
      </w:r>
    </w:p>
    <w:p>
      <w:r>
        <w:t>En revanche, la réponse de l'intimée du 25 septembre 2018 est tardive, car elle n'a pas été formée dans le délai légal (art. 312 al. 2 et 314 al. 1 CPC). Elle sera donc écartée.</w:t>
      </w:r>
    </w:p>
    <w:p>
      <w:r>
        <w:rPr>
          <w:b/>
        </w:rPr>
        <w:t>E. 1.3</w:t>
      </w:r>
    </w:p>
    <w:p>
      <w:r>
        <w:t>L'appel peut être formé pour violation du droit (art. 310 let. a CPC) et constatation inexacte des faits (art. 310 let. b CPC). 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fait grief au Tribunal d'avoir considéré que le cas n'était pas clair au sens de l'art. 257 CPC.</w:t>
      </w:r>
    </w:p>
    <w:p>
      <w:r>
        <w:t>C/12683/2018 -5/9-</w:t>
      </w:r>
    </w:p>
    <w:p>
      <w:r>
        <w:t>2.1.1 Aux termes de la disposition précitée, le tribunal admet l'application de la procédure sommaire lorsque les conditions suivantes sont remplies : (a) l'état de fait n'est pas litigieux ou est susceptible d'être immédiatement prouvé et (b) la situation juridique est claire (art. 257 al. 1 CPC); le tribunal n'entre pas en matière sur la requête lorsque cette procédure ne peut pas être appliquée (art. 257 al. 3 CPC).</w:t>
      </w:r>
    </w:p>
    <w:p>
      <w:r>
        <w:t>Selon la jurisprudence, l'état de fait n'est pas litigieux lorsqu'il n'est pas contesté par le défendeur, soit lorsque les faits tels que présentés par le demandeur ne sont pas remis en cause par le défendeur (BOHNET, Commentaire romand Code de procédure civile, Bâle, 2ème éd. 2019, n. 7 ad art. 257). L'état de fait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w:t>
      </w:r>
    </w:p>
    <w:p>
      <w:r>
        <w:t>La situation juridique est claire lorsque l'application de la norme au cas concret s'impose de façon évidente au regard du texte légal ou sur la base d'une doctrine et d'une jurisprudence éprouvées (ATF 138 III 123 consid. 2.12; BOHNET, op. cit., n. 13 ad art. 257). Cela sera par exemple le cas en matière d'expulsion, lorsqu'un congé est donné pour cause de demeure avérée du locataire et que les règles formelles de résiliation ont été respectées. Tel ne sera en revanche pas le cas si la résiliation du bail est intervenue pour cause de justes motifs et que les motifs invoqués peuvent donner lieu à discussion (BOHNET, op. cit., n. 13 ad art. 257). Ainsi,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La situation juridique n'est pas non plus claire si le défendeur fait valoir des moyens qui n'apparaissent pas d'emblée voués à l'échec et qui supposent une administration des preuves complexe (BOHNET, op. cit., n. 12 ad art. 257).</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w:t>
      </w:r>
    </w:p>
    <w:p>
      <w:r>
        <w:t>C/12683/2018 -6/9- cette question préjudicielle (ATF 141 III 262 consid. 3.2 in fine; 142 III 515 consid. 2.2.4 in fine).</w:t>
      </w:r>
    </w:p>
    <w:p>
      <w:r>
        <w:t>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(ATF 140 III 315 consid. 5).</w:t>
      </w:r>
    </w:p>
    <w:p>
      <w:r>
        <w:t>2.1.2 Dans un bail à ferme, le bailleur cède l'usage d'un bien ou d'un droit productif, dont le fermier peut percevoir les fruits ou les produits (art. 275 CO).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(arrêt du Tribunal fédéral 4C.43/2000 du 21 mai 2001 consid. 2a; LACHAT, Le bail des cafés et des restaurants, 18ème Séminaire sur le droit du bail, Neuchâtel 2014, p. 225; RONCORONI, Commentaire romand Code des obligations I, Bâle 2012, n. 9 ad art. 275 CO).</w:t>
      </w:r>
    </w:p>
    <w:p>
      <w:r>
        <w:t>La mise en gérance libre, soit la cession, par le biais d'un sous-contrat, de l'usage d'un établissement public complètement équipé et prêt à être exploité avec son matériel, sa clientèle et son réseau de fournisseurs, est un bail à ferme non agricole (ATF 128 III 419 consid. 2.1; LACHAT, op. cit., p. 227 et les arrêt cités; TERCIER, Les contrats spéciaux, 2ème éd., Bâle, n. 2172).</w:t>
      </w:r>
    </w:p>
    <w:p>
      <w:r>
        <w:t>En effet, dans la plupart des cas, le sous-contrat relatif à l'établissement inclut le fonds de commerce et la clientèle. Leur valeur sert à déterminer la redevance de gérance (LACHAT, op. cit., p. 227).</w:t>
      </w:r>
    </w:p>
    <w:p>
      <w:r>
        <w:t>On se trouve également en présence d'un bail à ferme lorsque le bailleur remet au fermier l'entreprise qu'il exploite dans ces locaux ainsi que ses relations d'affaires (RONCORONI, op. cit., n. 9 ad art. 275 CO).</w:t>
      </w:r>
    </w:p>
    <w:p>
      <w:r>
        <w:rPr>
          <w:b/>
        </w:rPr>
        <w:t>E. 2.2</w:t>
      </w:r>
    </w:p>
    <w:p>
      <w:r>
        <w:t>En l'espèce, il apparaît que les parties ont conclu un contrat de gérance libre, à savoir un contrat de bail à ferme.</w:t>
      </w:r>
    </w:p>
    <w:p>
      <w:r>
        <w:t>En effet, le contrat litigieux prévoit que l'appelante cède l'exploitation de l'établissement à l'enseigne «D______» à l'intimée, moyennant le versement par cette dernière d'une «redevance mensuelle» de 5'600 fr. couvrant les frais des locaux et de la gérance de l'établissement (art. 1, 2 et 5).</w:t>
      </w:r>
    </w:p>
    <w:p>
      <w:r>
        <w:t>L'appelante a ainsi mis à disposition de l'intimée les locaux et le fonds de commerce propres à l'exploitation d'une entreprise préexistante disposant de l'équipement fonctionnel et des installations nécessaires à la bonne marche de son activité, l'intimée pouvant également amener du mobilier complémentaire à celui déjà en place dans les locaux, tel que cela ressort des articles 10 et 12 du contrat litigieux.</w:t>
      </w:r>
    </w:p>
    <w:p>
      <w:r>
        <w:t>Par ailleurs, l'établissement a été remis avec ses relations d'affaires, en particulier avec son enseigne «D______» (art. 1 et 2) et son personnel (art. 9).</w:t>
      </w:r>
    </w:p>
    <w:p>
      <w:r>
        <w:t>C/12683/2018 -7/9-</w:t>
      </w:r>
    </w:p>
    <w:p>
      <w:r>
        <w:t>Les caractéristiques précitées relèvent bien du contrat de bail à ferme au sens de l'art. 275 CO, nonobstant la possibilité d'achat du fonds de commerce prévue à l'article 21 du contrat litigieux.</w:t>
      </w:r>
    </w:p>
    <w:p>
      <w:r>
        <w:t>En outre, l'appelante a invoqué l'art. 282 CO relatif au bail à ferme pour justifier la résiliation du bail, tant dans son avis comminatoire du 15 décembre 2017 que dans son courrier d'accompagnement à l'avis de résiliation du 7 mars 2018.</w:t>
      </w:r>
    </w:p>
    <w:p>
      <w:r>
        <w:t>Cependant, l'art. 282 al. 1 CO prévoit que le bailleur fixe, par écrit, un délai de paiement de 60 jours au moins au fermier en retard.</w:t>
      </w:r>
    </w:p>
    <w:p>
      <w:r>
        <w:t>La validité du congé suppose que le fermier se soit trouvé en retard dans le paiement de la dette échue lorsque la sommation lui a été adressée, que le bailleur ait fixé par écrit au fermier un délai comminatoire de paiement et que le fermier ne se soit pas acquitté de la dette dans le délai fixé (arrêt du Tribunal fédéral 4A_299/2011 du 7 juin 2011 consid. 5; BOHNET/CARRON/MONTINI, op. cit., n. 7 ad art. 282 CO).</w:t>
      </w:r>
    </w:p>
    <w:p>
      <w:r>
        <w:t>L'avis comminatoire doit préciser, de manière impérative et sous peine de nullité, qu'à défaut de paiement de l'arriéré échu dans le délai imparti, le bail pourra être résilié de façon anticipée (arrêt du Tribunal fédéral 4A_551/2009 du 10 février 2010 consid. 2.4; RONCORONI, op. cit., n. 1 ad art. 282 CO). Ainsi, le locataire doit pouvoir clairement comprendre que le bailleur se réserve la faculté de mettre un terme au bail si le montant réclamé n'est pas payé dans le délai imparti (ACJC/740/2015 du 22 juin 2015 consid. 5.2). L'absence d'un avis comminatoire régulièrement signifié conduit en principe à l'inefficacité du congé anticipé (BOHNET/CARRON/MONTINI, op. cit., n. 15 ss ad art. 257d CO).</w:t>
      </w:r>
    </w:p>
    <w:p>
      <w:r>
        <w:t>Or, il ne ressort pas de l'avis comminatoire du 15 décembre 2017 que l'appelante aurait fixé à l'intimée un délai de paiement de 60 jours.</w:t>
      </w:r>
    </w:p>
    <w:p>
      <w:r>
        <w:t>Au contraire, l'avis précité se contente d'indiquer les montants dus et de mettre l'intimée en demeure de procéder à leur paiement, à défaut de quoi le contrat de bail serait résilié.</w:t>
      </w:r>
    </w:p>
    <w:p>
      <w:r>
        <w:t>Faute de délai imparti à l'intimée, il ne saurait lui être reproché de ne pas s'être acquittée des montants litigieux à temps.</w:t>
      </w:r>
    </w:p>
    <w:p>
      <w:r>
        <w:t>Par ailleurs, le fait que la résiliation soit intervenue en date du 7 mars 2018, soit après l'expiration d'un délai de 60 jours, ne change rien au fait que l'intimée n'a pas été expressément informée qu'elle disposait d'un délai de 60 jours pour procéder au paiement des montants dus.</w:t>
      </w:r>
    </w:p>
    <w:p>
      <w:r>
        <w:t>L'avis comminatoire du 15 décembre 2017 est dès lors, le cas échéant, entaché d'un défaut qui pose la question de la nullité du congé.</w:t>
      </w:r>
    </w:p>
    <w:p>
      <w:r>
        <w:t>Il résulte de ce qui précède que le cas d'espèce ne peut pas être considéré comme clair en tant qu'il laisse subsister des questions qui ne peuvent pas être examinées en procédure sommaire.</w:t>
      </w:r>
    </w:p>
    <w:p>
      <w:r>
        <w:t>Est également litigieuse la question du montant du fermage.</w:t>
      </w:r>
    </w:p>
    <w:p>
      <w:r>
        <w:t>C/12683/2018 -8/9-</w:t>
      </w:r>
    </w:p>
    <w:p>
      <w:r>
        <w:t>En effet, alors que le contrat de bail prévoit que le fermage s'élève à 5'600 fr. par mois, frais accessoires compris, c'est un montant mensuel de 6'600 fr. dont s'est acquittée l'intimée à ce titre. Cette dernière a d'ailleurs relevé dans le cadre de la réponse déposée par-devant le Tribunal le 12 juillet 2018, qu'elle s'acquittait d'un montant mensuel supplémentaire de 1'000 fr. non prévu par le contrat, et ce depuis la conclusion de celui-ci.</w:t>
      </w:r>
    </w:p>
    <w:p>
      <w:r>
        <w:t>Elle a fait valoir lors de l'audience du 17 juillet 2018 que le sous-loyer était abusif. Elle a donc contesté les montants de 7'600 fr. et de 6'600 fr. qui lui sont réclamés dans l'avis comminatoire du 15 décembre 2017. Ses objections sont propres à ébranler la conviction du juge.</w:t>
      </w:r>
    </w:p>
    <w:p>
      <w:r>
        <w:t>Dès lors ni l'état de fait, ni la situation juridique ne sont claires.</w:t>
      </w:r>
    </w:p>
    <w:p>
      <w:r>
        <w:t>Les conditions d'application de l'art. 257 CPC n'étant pas remplies, c'est à bon droit que les premiers juges ont déclaré irrecevable la requête de l'appelante.</w:t>
      </w:r>
    </w:p>
    <w:p>
      <w:r>
        <w:t>Le jugement querellé sera donc confirmé.</w:t>
      </w:r>
    </w:p>
    <w:p>
      <w:r>
        <w:rPr>
          <w:b/>
        </w:rPr>
        <w:t>E. 3</w:t>
      </w:r>
    </w:p>
    <w:p>
      <w:r>
        <w:t>En application de l'art. 22 al. 1 LaCC, il ne sera pas perçu de frais judiciaires et il ne sera pas alloué de dépens. * * * * *</w:t>
      </w:r>
    </w:p>
    <w:p>
      <w:r>
        <w:t>C/12683/2018 -9/9- PAR CES MOTIFS, La Chambre des baux et loyers : A la forme : Déclare recevable l'appel interjeté le 10 septembre 2018 par A______ SA contre le jugement JTBL/750/2018 rendu par le Tribunal des baux et loyers le 28 août 2018 dans la cause C/12683/2018-8-SE. Au fond : Confirme le jugement attaqué. Dit que la procédure est gratuite. Déboute les parties de toutes autres conclusions. Siégeant : Monsieur Ivo BUETTI, président; Madame Fabienne GEISINGER-MARIETHOZ et Madame Eleanor McGREGOR, juges; Monsieur Thierry STICHER et Monsieur Serge PATEK, juges assesseurs; Madame Maïté VALENTE, greffière.</w:t>
      </w:r>
    </w:p>
    <w:p>
      <w:r>
        <w:t>Le Président : Ivo BUETTI</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