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ACJC/191/2020 vom 29. Januar 2020</w:t>
      </w:r>
    </w:p>
    <w:p>
      <w:r>
        <w:t>GE Cour de justice, 2020-01-29, FR</w:t>
      </w:r>
    </w:p>
    <w:p>
      <w:r>
        <w:rPr>
          <w:b/>
        </w:rPr>
        <w:t xml:space="preserve">Quelle: </w:t>
      </w:r>
      <w:r>
        <w:t>https://mcp.opencaselaw.ch/entscheid/ge_gerichte_ACJC_191_2020</w:t>
      </w:r>
    </w:p>
    <w:p>
      <w:r>
        <w:t>FR: GE_GERICHTE ACJC/191/2020 du 29 janvier 2020</w:t>
      </w:r>
    </w:p>
    <w:p>
      <w:r>
        <w:t>IT: GE_GERICHTE ACJC/191/2020 del 29 gennaio 2020</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dans les causes dont la valeur litigieuse au dernier état des conclusions devant l'autorité inférieure est supérieure à 10'000 fr. (art. 308 al. 2 CPC). Le litige portant sur le montant de l'entretien en faveur de l'épouse, il est de nature pécuniaire (ATF 133 III 393 consid. 2; arrêts du Tribunal fédéral 5A_42/2013 du 27 juin 2013 consid. 1.1; 5A_906/2012 du 18 avril 2013 consid. 1; 5A_236/2011 du 18 octobre 2011 consid. 1; 5A_511/2010 du 4 février 2011 consid. 1.1). Les jugements de mesures protectrices étant régis par la procédure sommaire selon l'art. 271 CPC, le délai d'introduction de l'appel est de dix jours (art. 314 al. 1 CPC). L'appel portant sur les chiffres 3 et 7 du dispositif entrepris a été formé en temps utile et selon la forme prescrite par la loi (art. 130 al. 1 et 311 al. 1 CPC), dans une</w:t>
      </w:r>
    </w:p>
    <w:p>
      <w:r>
        <w:t>- 9/19 -</w:t>
      </w:r>
    </w:p>
    <w:p>
      <w:r>
        <w:t>C/6074/2019 cause de nature pécuniaire portant sur le montant des contributions d'entretien en jeu, qui, capitalisées selon l'art. 92 al. 2 CPC, sont largement supérieures à 10'000 fr. Par conséquent, il est recevable. En revanche, l'acte ne comporte aucune motivation s'agissant des chiffres 5 à 6 du dispositif (fixation et répartition des frais et dépens), de sorte que ces points ne pourront être revus qu'en cas de modification du jugement entrepris (cf. art. 318 al. 3 CPC).</w:t>
      </w:r>
    </w:p>
    <w:p>
      <w:r>
        <w:rPr>
          <w:b/>
        </w:rPr>
        <w:t>E. 1.2</w:t>
      </w:r>
    </w:p>
    <w:p>
      <w:r>
        <w:t>La Cour revoit la cause en fait et en droit avec un plein pouvoir d'examen (art. 310 CPC). La présente cause est soumise aux maximes de disposition (art. 58 al. 1 CPC; ATF 128 III 411 consid. 3.2.2; arrêt du Tribunal fédéral 5A_693/2007 du 18 février 2008 consid. 6) et inquisitoire dite sociale ou limitée (art. 272 CPC; ATF 129 III 417; arrêt du Tribunal fédéral 5A_245/2019 du 1er juillet 2019 consid. 3.2.1).</w:t>
      </w:r>
    </w:p>
    <w:p>
      <w:r>
        <w:rPr>
          <w:b/>
        </w:rPr>
        <w:t>E. 1.3</w:t>
      </w:r>
    </w:p>
    <w:p>
      <w:r>
        <w:t>Les mesures protectrices de l'union conjugale étant soumises à la procédure sommaire (art. 271 CPC), la cognition du juge est limitée à la simple vraisemblance des faits et à un examen sommaire du droit (arrêts du Tribunal fédéral 5A_823/2014 consid. 2.2; 5A_823/2013 du 8 mai 2014 consid. 1.3).</w:t>
      </w:r>
    </w:p>
    <w:p>
      <w:r>
        <w:rPr>
          <w:b/>
        </w:rPr>
        <w:t>E. 2</w:t>
      </w:r>
    </w:p>
    <w:p>
      <w:r>
        <w:t>Les parties produisent toutes deux des pièces nouvelles en appel.</w:t>
      </w:r>
    </w:p>
    <w:p>
      <w:r>
        <w:rPr>
          <w:b/>
        </w:rPr>
        <w:t>E. 2.1</w:t>
      </w:r>
    </w:p>
    <w:p>
      <w:r>
        <w:t>Selon l'art. 317 al. 1 CPC, les faits et moyens de preuve nouveaux ne sont pris en compte au stade de l'appel que s'ils sont produits sans retard (let. a) et ne pouvaient l'être devant la première instance bien que la partie qui s'en prévaut ait fait preuve de la diligence requise (let. b). L'admissibilité de moyens de preuve portant sur des faits survenus avant la fin des débats principaux de première instance, soit avant la clôture des plaidoiries finales (ATF 143 III 42 consid. 4.1; 138 III 788 consid. 4.2; TAPPY, Commentaire romand, Code de procédure civile, 2ème éd. 2019, n. 11 ad art. 229 CPC), est ainsi largement limitée en appel, dès lors qu'ils sont irrecevables lorsqu'en faisant preuve de la diligence requise, ils auraient déjà pu être invoqués dans la procédure de première instance (ATF 144 III 349 consid. 4.2.1; 143 III 42 consid. 4.1). La diligence requise suppose que dans la procédure de première instance, chaque partie expose l'état de fait de manière soigneuse et complète et qu'elle amène tous les éléments propres à établir les faits jugés importants (arrêts du Tribunal fédéral 5A_1006/2017 du 5 février 2018 consid. 3.3; 4A_334/2012 du 16 octobre 2012 consid. 3.1, publié in SJ 2013 I 311).</w:t>
      </w:r>
    </w:p>
    <w:p>
      <w:r>
        <w:rPr>
          <w:b/>
        </w:rPr>
        <w:t>E. 2.2</w:t>
      </w:r>
    </w:p>
    <w:p>
      <w:r>
        <w:t>En l'espèce, la pièce n. 33a de l'appelant (sms d'une baby-sitter) est irrecevable dans la mesure où elle ne comporte aucune date, ni indice sur le moment de sa</w:t>
      </w:r>
    </w:p>
    <w:p>
      <w:r>
        <w:t>- 10/19 -</w:t>
      </w:r>
    </w:p>
    <w:p>
      <w:r>
        <w:t>C/6074/2019 survenance. Elle est en tout état dépourvue de valeur probante pour ce même motif. Il en va de même de l'extrait du site internet de l'Etude d'un avocat français (pièce n. 2) produit par l'intimée. Les pièces n. 39 à 42, 44, 44a, 53 et 55 de l'appelant (documents datés de janvier, février, mars, avril et mai 2019) auraient déjà pu être produites devant le premier juge, sans que l'appelant n'explique pour quels motifs il aurait été empêché de s'en prévaloir. Les pièces n. 45 à 50, 51 et 60 de l'appelant auraient quant à elle dû être versées à la procédure avec l'acte d'appel, dans la mesure où elles sont antérieures au dépôt de celui-ci. Toutes ces pièces sont donc irrecevables. En tout état de cause, leur prise en considération ne modifierait pas l'issue du litige. Il en va de même de l'extrait du compte bancaire de l'épouse relatif au mois d'août 2019, produit par l'appelant afin de rendre vraisemblable le train de vie actuel de celle- ci, soit des dépenses faites pour l'achat d'un parfum, de vêtements et des sorties. Ces éléments ne permettent en effet pas de penser que l'épouse disposerait actuellement d'autres revenus que ceux octroyés par l'appelant ou l'aide sociale. L'appelant se prévaut par ailleurs du fait que l'intimée n'assume plus la garde des enfants depuis le 1er septembre 2019 pour invoquer un revenu hypothétique dans le budget de celle-ci. Il produit à l'appui de ces allégués un curriculum vitae et une attestation de participation à des cours de français (pièces n. 37 et 38). Dès lors que l'appelant avait déjà requis, alors que la présente procédure était pendante devant le Tribunal, le retour des enfants en France, le prononcé dudit retour n'apparaît pas être un fait nouveau pouvant justifier la recevabilité de nouveaux éléments tendant à prouver la capacité de l'intimée à réaliser un revenu. Cette question peut toutefois rester indécise, dans la mesure où un revenu hypothétique doit dans tous les cas être écarté, ainsi qu'il sera exposé ci-après (cf. consid. 4.2.1 ci-dessous). Enfin, toutes les autres pièces sont postérieures à la date à laquelle le Tribunal a gardé la cause à juger. Ces documents ainsi que les faits qu'ils comportent sont donc recevables.</w:t>
      </w:r>
    </w:p>
    <w:p>
      <w:r>
        <w:rPr>
          <w:b/>
        </w:rPr>
        <w:t>E. 3</w:t>
      </w:r>
    </w:p>
    <w:p>
      <w:r>
        <w:t>L'appelant conteste la compétence des tribunaux genevois, l'intimée ne s'étant pas, selon lui, constituée un nouveau domicile à Genève lors du dépôt de la requête. 3.1.1 La Convention de Lugano du 30 octobre 2007 concernant la compétence judiciaire, la reconnaissance et l’exécution des décisions en matière civile et commerciale (ci-après : CL), entrée en vigueur le 1er janvier 2010 pour la France, respectivement le 1er janvier 2011 pour la Suisse, s'applique en matière d'obligation alimentaire. En sus du principe du for dans l'Etat contractant du domicile du défendeur (art. 2 CL), la CL permet d'attraire le défendeur dans un autre Etat, devant le</w:t>
      </w:r>
    </w:p>
    <w:p>
      <w:r>
        <w:t>- 11/19 -</w:t>
      </w:r>
    </w:p>
    <w:p>
      <w:r>
        <w:t>C/6074/2019 tribunal du lieu où le créancier d'aliments a son domicile ou sa résidence habituelle (art. 5 al. 2 let. a CL). 3.1.2 Aux termes de l'art. 20 al. 1 let. a LDIP, une personne physique a son domicile dans l'Etat dans lequel elle réside avec l'intention de s'y établir. Cette définition du domicile doit être interprétée en relation étroite avec celle de l'art. 23 al. 1 CC (ATF 120 III 7 consid. 2a; 119 II 167 consid. 2b). Elle comporte deux éléments : l'un, objectif, la présence physique en un lieu donné; l'autre, subjectif, l'intention d'y demeurer durablement (ATF 119 précité). L'élément objectif - la présence physique en un lieu déterminé - n'implique pas nécessairement que le séjour ait déjà duré un certain temps; si la condition subjective - la manifestation de l'intention de s'établir durablement en un lieu déterminé - est remplie par ailleurs, la constitution d'un domicile peut se produire dès l'arrivée dans un nouveau pays de séjour. Aussi, pour déterminer si une personne réside en un lieu donné avec l'intention de s'y établir ce n'est pas la durée de son séjour à cet endroit qui est décisive, mais bien la perspective d'une telle durée (arrêt du Tribunal fédéral 5A_30/2015 du 23 mars 2015 consid. 4.1.1 et la jurisprudence citée). Cependant, l'intention d'une personne de s'établir durablement en un lieu déterminé ne s'examine pas de façon subjective, au regard de sa volonté interne, mais à la lumière de circonstances objectives, reconnaissables pour les tiers, permettant de conclure à l'existence d'une telle intention. Ce n'est pas la volonté interne de l'intéressé qui importe, mais exclusivement la manifestation extérieure de cette volonté; les circonstances de fait objectives qui la manifestent de manière reconnaissable pour les tiers ont une portée juridique autonome. Ces circonstances ne doivent dès lors pas être considérées comme de simples indices de fait, servant à établir l'intention subjective de l'intéressé. Pour qu'une personne soit domiciliée à un endroit donné, il faut donc que des circonstances de fait objectives manifestent de manière reconnaissable pour les tiers que cette personne a fait de cet endroit, ou qu'elle a l'intention d'en faire, le centre de ses intérêts personnels, sociaux et professionnels. De plus, il n'est pas indispensable qu'une personne ait l'intention de demeurer pour toujours ou pour un temps indéterminé dans un certain lieu, mais il suffit qu'elle fasse de cet endroit le centre de son existence, quand bien même elle aurait l'intention de transférer plus tard son domicile ailleurs (ATF 119 II 64 consid. 2b/bb; arrêt du Tribunal fédéral 5A_30/2015 du 23 mars 2015 consid. 4.1.2 et la jurisprudence citée). Celui qui invoque l'existence d'un domicile déterminé doit le prouver (art. 8 CC). La partie adverse doit quant à elle prouver la création d'un nouveau domicile. Lorsque se pose la question de la compétence du juge, celui-ci doit en principe établir les faits d'office (STAEHELIN, Basler Kommentar, Zivilgesetzbuch I, art. 1-456 ZGB, n. 28 ad art. 23 CC).</w:t>
      </w:r>
    </w:p>
    <w:p>
      <w:r>
        <w:t>- 12/19 -</w:t>
      </w:r>
    </w:p>
    <w:p>
      <w:r>
        <w:t>C/6074/2019 La compétence à raison du lieu des juridictions suisses doit être acquise à la date de l'ouverture de l'action (ATF 116 II 9 consid. 5; arrêt du Tribunal fédéral 5A_659/2011 du 5 avril 2012 consid. 2.2.2).</w:t>
      </w:r>
    </w:p>
    <w:p>
      <w:r>
        <w:rPr>
          <w:b/>
        </w:rPr>
        <w:t>E. 3.2</w:t>
      </w:r>
    </w:p>
    <w:p>
      <w:r>
        <w:t>En l'espèce, l'intimée ne résidait à Genève que depuis quelques semaines au moment du dépôt de sa requête en mesures protectrices de l'union conjugale. Partant, seul un changement de résidence d'emblée destiné à être durable pourrait entrer en considération.</w:t>
      </w:r>
    </w:p>
    <w:p>
      <w:r>
        <w:t>L'intimée a vécu en Suisse de fin 2012 à septembre 2016. Elle a ensuite habité en France jusqu'en février 2019, tout en conservant une partie de ses activités à Genève. L'intimée s'est en effet rendue régulièrement à Genève pour y faire des courses, se rendre au fitness ou encore fréquenter la H______. Ces éléments plaident en faveur d'attaches particulières avec Genève. L'intimée n'a au surplus pas annoncé son départ de Genève à l'Office cantonal de la population, ce qui laisse supposer qu'un retour en Suisse restait dans son esprit envisageable. Lors de la séparation des parties, elle est revenue vivre à Genève, y emmenant également ses enfants. Si l'intimée a d'abord trouvé des solutions de logement provisoires, elle a, quelques mois seulement après son retour en Suisse, pris en sous-location un appartement de 3,5 pièces, ce qui plaide en faveur d'une volonté de s'installer durablement à Genève. Elle a par ailleurs souhaité que les enfants poursuivent, eux aussi, leurs activités dans cette ville. Durant leur séjour à Genève, ils ont ainsi fréquenté régulièrement la halte de jeux de I______. Au demeurant, l'intimée n'a vraisemblablement plus eu aucun lien avec la France depuis son arrivée à Genève en février 2019, hormis ceux nécessaires pour exercer son droit aux relations personnelles avec ses enfants.</w:t>
      </w:r>
    </w:p>
    <w:p>
      <w:r>
        <w:t>Au vu de ce qui précède, l'intimée apparaît s'être constituée, à la date du dépôt de sa requête déjà, soit le 18 mars 2019, une résidence à Genève destinée à être durable et à remplacer son précédent centre d'intérêts en France. C'est ainsi à juste titre que le Tribunal s'est déclaré compétent pour connaître des mesures protectrices requises la concernant.</w:t>
      </w:r>
    </w:p>
    <w:p>
      <w:r>
        <w:rPr>
          <w:b/>
        </w:rPr>
        <w:t>E. 4</w:t>
      </w:r>
    </w:p>
    <w:p>
      <w:r>
        <w:t>L'appelant conteste devoir une contribution à l'entretien de l'intimée. Après paiement de ses propres charges et de celles des enfants, il ne disposerait d'aucun disponible pour contribuer à l'entretien de son épouse. Celle-ci pouvait au demeurant subvenir elle-même à ses besoins.</w:t>
      </w:r>
    </w:p>
    <w:p>
      <w:r>
        <w:rPr>
          <w:b/>
        </w:rPr>
        <w:t>E. 4.1</w:t>
      </w:r>
    </w:p>
    <w:p>
      <w:r>
        <w:t>Lorsque la suspension de la vie commune est fondée, le juge fixe, à la requête de l'un des conjoints, la contribution d'entretien à verser par l'une des parties à l'autre (art. 176 al. 1 ch. 1 CC).</w:t>
      </w:r>
    </w:p>
    <w:p>
      <w:r>
        <w:t>- 13/19 -</w:t>
      </w:r>
    </w:p>
    <w:p>
      <w:r>
        <w:t>C/6074/2019</w:t>
      </w:r>
    </w:p>
    <w:p>
      <w:r>
        <w:rPr>
          <w:b/>
        </w:rPr>
        <w:t>E. 4.1.1</w:t>
      </w:r>
    </w:p>
    <w:p>
      <w:r>
        <w:t>Le principe et le montant de la contribution d'entretien due selon l'art. 176 al. 1 ch. 1 CC se déterminent en fonction des facultés économiques et des besoins respectifs des époux, sans anticiper sur la liquidation du régime matrimonial (ATF 121 I 97 consid. 3b; 118 II 376 consid. 20b; 115 II 424 consid. 3; arrêts du Tribunal fédéral 5A_290/2016 du 5 juillet 2017 consid, 4.1.1; 5A_649/2009 du 23 février 2010 consid. 3.2.1). Le juge doit partir de la convention, expresse ou tacite, que les conjoints ont conclue au sujet de la répartition des tâches et des ressources entre eux, l'art. 163 CC demeurant la cause de leur obligation d'entretien réciproque (ATF 140 III 337 consid. 4.2.1; 138 III 97 consid. 2.2; 137 III 385 consid. 3.1; arrêt du Tribunal fédéral 5A_290/2016 du 5 juillet 2017 consid, 4.1.1). Il doit ensuite prendre en considération qu'avec la suspension de la vie commune (art. 175 s. CC), le but de l'art. 163 CC, soit l'entretien convenable de la famille, impose à chacun des époux le devoir de participer, selon ses facultés, aux frais supplémentaires engendrés par l'existence parallèle de deux ménages. Chaque époux peut prétendre à participer d'une manière identique au train de vie antérieur (ATF 121 I 97 consid. 3b), qui constitue la limite supérieure du droit à l'entretien, en vertu d'un principe général qui s'applique indépendamment de la méthode de fixation de la pension (arrêt du Tribunal fédéral 5A_445/2014 du 28 août 2014 consid. 4.1). Quand il n'est pas possible de conserver ce niveau de vie, les époux ont droit à un train de vie semblable (ATF 119 II 314 consid. 4b.aa; arrêt du Tribunal fédéral 5A_920/2016 du 5 juillet 2017 consid. 4.1.1).</w:t>
      </w:r>
    </w:p>
    <w:p>
      <w:r>
        <w:rPr>
          <w:b/>
        </w:rPr>
        <w:t>E. 4.1.2</w:t>
      </w:r>
    </w:p>
    <w:p>
      <w:r>
        <w:t>La loi ne prescrit pas de méthode de calcul particulière pour arrêter la quotité de la contribution d'entretien. Sa fixation relève de l'appréciation du juge, qui jouit d'un large pouvoir d'appréciation et applique les règles du droit et de l'équité (art. 4 CC; ATF 140 III 337 consid. 4.2.2; 134 III 577 consid. 4; 128 III 411 consid. 3.2.2; arrêt du Tribunal fédéral 5A_920/2016 du 5 juillet 2017 consid. 4.1.1). L'une des méthodes préconisées par la doctrine et considérée comme conforme au droit fédéral est celle dite du minimum vital, avec répartition de l'excédent (ATF 140 III 337 consid. 4.2.2). Les besoins des parties sont calculés en partant du minimum vital au sens du droit des poursuites. Celui-ci comprend le montant de base fixé par les normes d'insaisissabilité, les frais de logement effectifs ou raisonnables, les coûts de santé, tels que les cotisations d'assurance-maladie obligatoire, les frais de transports publics et les frais professionnels, tels que les frais de repas à l'extérieur (art. 93 LP; arrêt du Tribunal fédéral 5A_329/2016 du</w:t>
      </w:r>
    </w:p>
    <w:p>
      <w:r>
        <w:rPr>
          <w:b/>
        </w:rPr>
        <w:t>E. 6</w:t>
      </w:r>
    </w:p>
    <w:p>
      <w:r>
        <w:t>Le présent arrêt, qui statue sur mesures provisionnelles, est susceptible d'un recours en matière civile, les moyens étant limités en application de l'art. 98 LTF. * * * * *</w:t>
      </w:r>
    </w:p>
    <w:p>
      <w:r>
        <w:t>- 18/19 -</w:t>
      </w:r>
    </w:p>
    <w:p>
      <w:r>
        <w:t>C/6074/2019 PAR CES MOTIFS, La Chambre civile : A la forme : Déclare recevable l'appel interjeté le 23 septembre 2019 par A______ contre les chiffres 3 et 5 à 7 du dispositif du jugement JTPI/12618/2019 rendu le 10 septembre 2019 par le Tribunal de première instance dans la cause C/6074/2019-5. Au fond : Annule le chiffre 3 du dispositif de ce jugement. Confirme le jugement entrepris pour le surplus. Déboute les parties de toutes autres conclusions. Sur les frais : Arrête les frais judiciaires d'appel à 1'450 fr., compense ceux-ci à concurrence de 725 fr. avec l'avance de frais fournie par A______, qui reste acquise à l'Etat de Genève. Met ceux-ci à la charge de A______ et B______, à raison de la moitié chacun. Laisse provisoirement à la charge de l'Etat de Genève la part de 725 fr. imputée à B______. Invite les Services financiers du Pouvoir judiciaire à rembourser à A______ la somme de 725 fr. Dit que chaque partie supporte ses propres dépens. Siégeant : Madame Verena PEDRAZZINI RIZZI, présidente; Madame Nathalie LANDRY- BARTHE, Madame Ursula ZEHETBAUER GHAVAMI, juges; Madame Jessica ATHMOUNI, greffière. La présidente : Verena PEDRAZZINI RIZZI</w:t>
      </w:r>
    </w:p>
    <w:p>
      <w:r>
        <w:t>La greffière : Jessica ATHMOUNI</w:t>
      </w:r>
    </w:p>
    <w:p>
      <w:r>
        <w:t>- 19/19 -</w:t>
      </w:r>
    </w:p>
    <w:p>
      <w:r>
        <w:t>C/6074/2019</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