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ACJC/191/2019 vom 11. Februar 2019</w:t>
      </w:r>
    </w:p>
    <w:p>
      <w:r>
        <w:t>GE Cour de justice, 2019-02-11, FR</w:t>
      </w:r>
    </w:p>
    <w:p>
      <w:r>
        <w:rPr>
          <w:b/>
        </w:rPr>
        <w:t xml:space="preserve">Quelle: </w:t>
      </w:r>
      <w:r>
        <w:t>https://mcp.opencaselaw.ch/entscheid/ge_gerichte_ACJC_191_2019</w:t>
      </w:r>
    </w:p>
    <w:p>
      <w:r>
        <w:t>FR: GE_GERICHTE ACJC/191/2019 du 11 février 2019</w:t>
      </w:r>
    </w:p>
    <w:p>
      <w:r>
        <w:t>IT: GE_GERICHTE ACJC/191/2019 del 11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- 8/15 -</w:t>
      </w:r>
    </w:p>
    <w:p>
      <w:r>
        <w:t>C/28095/2017</w:t>
      </w:r>
    </w:p>
    <w:p>
      <w:r>
        <w:t>La valeur litigieuse est déterminée par les dernières conclusions de première instance (art. 91 al. 1 CPC; JEANDIN, Code de procédure civile commentée, Bâle, 2011, n. 13 ad art. 308 CPC; arrêt du Tribunal fédéral 4A_594/2012 du 28 février 2013).</w:t>
      </w:r>
    </w:p>
    <w:p>
      <w:r>
        <w:t>Selon la jurisprudence constante du Tribunal fédéral, les contestations portant sur l'usage d'une chose louée sont de nature pécuniaire (arrêt du Tribunal fédéral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136 III 196 consid. 1.1).</w:t>
      </w:r>
    </w:p>
    <w:p>
      <w:r>
        <w:t>En l'espèce, compte tenu du loyer mensuel de 300 fr., la valeur litigieuse s'élève à 10'800 fr., de sorte que la voie de l'appel est ouverte.</w:t>
      </w:r>
    </w:p>
    <w:p>
      <w:r>
        <w:rPr>
          <w:b/>
        </w:rPr>
        <w:t>E. 1.2</w:t>
      </w:r>
    </w:p>
    <w:p>
      <w:r>
        <w:t>L'appel ayant été interjeté dans le délai prévu par la loi, il est recevable sous cet angle (art. 130 et 131 CPC).</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1.4</w:t>
      </w:r>
    </w:p>
    <w:p>
      <w:r>
        <w:t>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arrêts du Tribunal fédéral</w:t>
      </w:r>
    </w:p>
    <w:p>
      <w:r>
        <w:t>- 9/15 -</w:t>
      </w:r>
    </w:p>
    <w:p>
      <w:r>
        <w:t>C/28095/2017 5A_676/2014 du 18 mai 2015 consid. 3; 4A_42/2014 du 17 octobre 2014 consid. 4.2). 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l'espèce, l'acte d'appel ne comporte aucune motivation, ni aucune critique quant à l'absence d'octroi d'une prolongation de bail par les premiers juges, de sorte que l'appel est irrecevable à cet égard. L'appelant, qui est pourtant représenté par un mandataire professionnellement qualifié, s'est limité à conclure à l'annulation du jugement querellé, sans prendre aucune autre conclusion réformatoire, en particulier en constatation de la nullité du congé et en annulation de la résiliation de bail. L'appel est dès lors irrecevable à cet égard. Il est en revanche recevable quant à la motivation subsidiaire retenue par les premiers juges, l'appel étant suffisamment motivé sur ces points.</w:t>
      </w:r>
    </w:p>
    <w:p>
      <w:r>
        <w:rPr>
          <w:b/>
        </w:rPr>
        <w:t>E. 2</w:t>
      </w:r>
    </w:p>
    <w:p>
      <w:r>
        <w:t>Même si l'appel avait été recevable concernant la qualification du contrat, il n'en serait pas moins infondé, pour les motifs qui vont suivre.</w:t>
      </w:r>
    </w:p>
    <w:p>
      <w:r>
        <w:rPr>
          <w:b/>
        </w:rPr>
        <w:t>E. 2.1</w:t>
      </w:r>
    </w:p>
    <w:p>
      <w:r>
        <w:t>Le bail à loyer est un contrat par lequel le bailleur s'oblige à céder l'usage d'une chose au locataire, moyennant un loyer (art. 253 CO). 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w:t>
      </w:r>
    </w:p>
    <w:p>
      <w:r>
        <w:t>Par local commercial, il faut comprendre tout local qui sert à l'exploitation d'une activité commerciale ou, au sens large, à l'exercice d'une activité professionnelle (ATF 124 III 108 - JT 1999 I 107, p. 110). L'activité peut prendre les formes les plus variées : commerce, fabrication, prestation de services, artisanat, activité artistique ou scientifique. Sont ainsi des locaux commerciaux les fabriques, les ateliers, les bureaux, les magasins, les dépôts, les entrepôts, les salles de spectacles, les ateliers d'artistes ou les cabinets médicaux. L'activité peut être principale ou accessoire : elle doit avoir pour but de fournir un revenu, mais peu importe si elle le fournit réellement (LACHAT, Le bail à loyer, Lausanne 2008, pp. 123-124; BOHNET/DIETSCHI, op. cit., n. 11 ad art. 253a CO; KNOEPFLER/ RUEDIN, Regard circulaire sur le droit du bail commercial, in 13ème Séminaire sur le droit du bail, Neuchâtel 2004, pp. 5-6).</w:t>
      </w:r>
    </w:p>
    <w:p>
      <w:r>
        <w:t>- 10/15 -</w:t>
      </w:r>
    </w:p>
    <w:p>
      <w:r>
        <w:t>C/28095/2017</w:t>
      </w:r>
    </w:p>
    <w:p>
      <w:r>
        <w:t>L'activité peut être principale ou accessoire et doit avoir pour but de fournir un revenu (KNOEPFLER/RUEDIN, op. cit., p. 6; HIGI, Commentaire zurichois, n. 31 ad art. 253a-253b CO; BOHNET/DIETSCHY-MARTENET, Droit du bail à loyer et à ferme, Commentaire pratique, n. 11 ad. art. 253a CO).</w:t>
      </w:r>
    </w:p>
    <w:p>
      <w:r>
        <w:rPr>
          <w:b/>
        </w:rPr>
        <w:t>E. 2.2</w:t>
      </w:r>
    </w:p>
    <w:p>
      <w:r>
        <w:t>Le contrat est parfait lorsque les parties ont, réciproquement et d'une manière concordante, manifesté leur volonté (art. 1 al. 1 CO). Cette manifestation peut être expresse ou tacite (art. 1 al. 2 CO). Une manifestation de volonté est faite tacitement ou par actes concluants lorsqu'elle n'exprime pas directement une certaine volonté mais qu'elle permet néanmoins à son destinataire de déduire l'existence de cette volonté. Une telle manifestation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123 III 53 consid. 5a; MORIN, in Commentaire romand CO I, 2ème éd., 2012, n. 10 s. ad art. 1 CO). En présence d'un litige sur l'interprétation d'un contrat, le juge doit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(interprétation dite subjective; ATF 135 III 410 consid. 3.2; arrêts du Tribunal fédéral 4A_200/2015 du 3 septembre 2015 consid. 4.1.1 et les références citées; 4A_436/2012 du</w:t>
      </w:r>
    </w:p>
    <w:p>
      <w:r>
        <w:rPr>
          <w:b/>
        </w:rPr>
        <w:t>E. 2.3</w:t>
      </w:r>
    </w:p>
    <w:p>
      <w:r>
        <w:t>En l'espèce, le contrat de bail principal porte sur la mise à disposition de locaux destinés exclusivement à de l'entreposage, des loisirs et du bricolage. Il résulte par ailleurs de la procédure qu'en dépit de l'utilisation d'un bail préimprimé destiné à des locaux commerciaux, les parties au contrat de bail principal ont exclu toute activité commerciale dans les locaux en cause. L'appelant ne le conteste au demeurant pas.</w:t>
      </w:r>
    </w:p>
    <w:p>
      <w:r>
        <w:t>Il résulte de l'instruction de la présente cause que l'intimé, de même que les deux autres sous-locataires, n'exercent aucune activité commerciale dans les locaux, ce que l'appelant admet expressément. Contrairement à ce qu'il allègue, l'appelant n'a fourni aucun indice permettant de retenir que les parties auraient eu la volonté de se lier par un contrat de bail à loyer commercial. Au contraire, les locaux ont été sous-loués pour le même usage que le contrat de bail principal, soit exclusivement à des fins non commerciales. L'appelant ne soutient d'ailleurs pas qu'il aurait, lors de la conclusion du contrat de sous-location, loué les locaux litigieux en vue d'en tirer un revenu.</w:t>
      </w:r>
    </w:p>
    <w:p>
      <w:r>
        <w:t>La thèse de l'appelant selon laquelle l'utilisation, au fil du temps, du local à des fins commerciales justifie de considérer le caractère commercial des locaux en cause, ne peut pas non plus être retenue, l'intimé n'ayant pas eu la volonté de modifier l'utilisation initialement convenue des locaux.</w:t>
      </w:r>
    </w:p>
    <w:p>
      <w:r>
        <w:t>Enfin, et comme l'a retenu à bon droit le Tribunal, un atelier de réparations de véhicules anciens ou des locaux servant au bricolage ne peuvent être qualifiés de locaux commerciaux. L'éventuel revenu que pourrait en tirer le locataire ne modifie pas cette appréciation.</w:t>
      </w:r>
    </w:p>
    <w:p>
      <w:r>
        <w:rPr>
          <w:b/>
        </w:rPr>
        <w:t>E. 2.4</w:t>
      </w:r>
    </w:p>
    <w:p>
      <w:r>
        <w:t>Par conséquent, les locaux en cause ne constituent pas des locaux commerciaux, de sorte qu'ils ne bénéficient pas de la protection contre les congés instituée par les art. 271 ss CO. Les griefs de l'appelant sont dès lors infondés sur ce point.</w:t>
      </w:r>
    </w:p>
    <w:p>
      <w:r>
        <w:rPr>
          <w:b/>
        </w:rPr>
        <w:t>E. 3</w:t>
      </w:r>
    </w:p>
    <w:p>
      <w:r>
        <w:t>L'appelant soutient que la résiliation doit être annulée, motif pris d'un précédent congé signifié dans les trois ans précédant le congé en cause. Même à retenir que le contrat en cause bénéficierait des normes protectrices contre les congés - ce qui a été nié en l'espèce (cf. consid. 2.3 et 2.4), l'appel serait infondé, pour les motifs qui vont suivre.</w:t>
      </w:r>
    </w:p>
    <w:p>
      <w:r>
        <w:rPr>
          <w:b/>
        </w:rPr>
        <w:t>E. 3.1</w:t>
      </w:r>
    </w:p>
    <w:p>
      <w:r>
        <w:t>A teneur de l'art. 271a al. 1 let. e CO, le congé donné par le bailleur est annulable lorsqu'il intervient dans les trois ans à compter de la fin d'une procédure de conciliation ou d'une procédure judiciaire au sujet du bail et si le bailleur a succombé dans une large mesure.</w:t>
      </w:r>
    </w:p>
    <w:p>
      <w:r>
        <w:t>La disposition s'applique indépendamment du motif spécifique pour lequel le bailleur entend résilier dans le cas particulier. La période de protection de</w:t>
      </w:r>
    </w:p>
    <w:p>
      <w:r>
        <w:t>- 12/15 -</w:t>
      </w:r>
    </w:p>
    <w:p>
      <w:r>
        <w:t>C/28095/2017 l’art. 271a al. 1 let. d et e CO garantit que le locataire pourra faire valoir ses prétentions contractuelles devant l’autorité de conciliation ou le tribunal sans avoir à craindre que le bailleur lui donne son congé pour ce motif (arrêt du Tribunal fédéral dans la cause 4C.432/2006 du 8 mai 2006 consid. 4.4; ATF 141 III 101 consid. 2.7, traduit au JT 2015 II 73).</w:t>
      </w:r>
    </w:p>
    <w:p>
      <w:r>
        <w:t>En prévoyant des périodes de protection contre les congés, la loi manifeste qu’elle est imprégnée de critères positifs de loyauté et de protection sociale, bien plus que du concept, négatif, de l’abus de droit, si bien que la protection contre les congés va au-delà de la protection contre les abus de droit manifestes et même de la garantie générale du principe de la bonne foi. Le congé donné pendant une période de conciliation ou une procédure judiciaire au sens de l’art. 271a al. 1 let. d CO est ainsi annulable indépendamment de la question de savoir s’il est effectivement abusif (ATF 131 III 33, traduit au JT 2005 I 255). De la même façon, pour la détermination de la période de protection, la question de savoir si le bailleur est ou pourrait être effectivement animé d’une volonté de représailles n’est pas décisive (ATF 141 III 101 consid. 2.7, traduit au JT 2015 II 73).</w:t>
      </w:r>
    </w:p>
    <w:p>
      <w:r>
        <w:t>La protection contre les congés connaît des restrictions en ce sens que, selon l'art. 271a al. 3 CO, les lettres d et e du premier alinéa ne sont pas applicables lorsqu'un congé est donné pour l'un des six motifs exhaustivement énumérés sous lettres a à f, notamment le besoin urgent du bailleur.</w:t>
      </w:r>
    </w:p>
    <w:p>
      <w:r>
        <w:t>Malgré le caractère limitatif de cette liste d'exceptions, la pratique admet néanmoins qu'un bailleur répète pendant la procédure, et dans les trois ans qui la suivent, une résiliation affectée d'un vice de forme (LACHAT, Le bail à loyer, Lausanne 2008, p. 748; BARBEY, Commentaire du droit du bail, Protection contre les congés concernant les baux d'habitation et de locaux commerciaux, Genève 1991, n. 106 p. 146; arrêt non publié 4C.382/1992, du 12 février 1993 consid. 1).</w:t>
      </w:r>
    </w:p>
    <w:p>
      <w:r>
        <w:t>Le champ des résiliations nulles pour vice de forme ne se limite pas aux congés tombant sous le coup de l'art. 266o CO (HIGI, Commentaire zurichois, n. 133 ad art. 266-266o CO par renvoi du n. 262 ad art. 271 CO; qui préconise une acception large du vice de forme : «Nichtigkeit im weiteren Sinn»).</w:t>
      </w:r>
    </w:p>
    <w:p>
      <w:r>
        <w:t>Est notamment considérée comme une résiliation affectée d’un vice de forme, une résiliation qui n’a pas été signifiée sous deux plis séparés au locataire et à son conjoint (art. 266n CO et 266o CO), ou un congé anticipé fondé sur l’art. 257d al. 2 CO (retard dans le paiement du loyer) qui n’a pas été précédé d’un avis comminatoire (LACHAT, op. cit., p. 748, ch. 5.5.5). Sont également considérés comme nuls pour vice de forme le congé n'ayant pas émané de la totalité ou de la majorité requise des co-bailleurs (LACHAT, op. cit., p. 637; HIGI, op. cit., n. 84 ad art. 266-266o CO) ou encore le congé qui n'a pas été donné par tous les membres de la communauté héréditaire propriétaire de l'immeuble (LACHAT, op. cit.,</w:t>
      </w:r>
    </w:p>
    <w:p>
      <w:r>
        <w:t>- 13/15 -</w:t>
      </w:r>
    </w:p>
    <w:p>
      <w:r>
        <w:t>C/28095/2017 p. 636, note 71 citant un arrêt du Tribunal cantonal vaudois publié in CdB 1999 p. 63). Ces résiliations peuvent être répétées durant la procédure ou les trois ans qui suivent (LACHAT, op. cit., p. 637, note 73).</w:t>
      </w:r>
    </w:p>
    <w:p>
      <w:r>
        <w:t>En revanche, un congé affecté d’un vice matériel (violation des règles de la bonne foi, violation des lettres a, b, c ou f de l’art. 271a al. 1 CO, absence de justes motifs au sens de l’art. 266g CO, pas de violation du devoir de diligence au sens de l’art. 257f al. 2 et 4 CO) ne peut pas être valablement répété durant la procédure ou dans les trois ans qui suivent (LACHAT, op. cit., p. 748, ch. 5.5.5).</w:t>
      </w:r>
    </w:p>
    <w:p>
      <w:r>
        <w:rPr>
          <w:b/>
        </w:rPr>
        <w:t>E. 3.2</w:t>
      </w:r>
    </w:p>
    <w:p>
      <w:r>
        <w:t>En l'espèce, il résulte de la procédure que le premier congé notifié à l'appelant était nul, celui-ci n'ayant pas été notifié au moyen d'un formulaire officiel. Conformément à la jurisprudence rappelée supra, le bailleur est en droit de répéter un congé nul pour vice de forme, sans que le locataire ne bénéficie d'une protection particulière.</w:t>
      </w:r>
    </w:p>
    <w:p>
      <w:r>
        <w:t>Le grief de l'appelant se révèle ainsi infondé sur ce point.</w:t>
      </w:r>
    </w:p>
    <w:p>
      <w:r>
        <w:rPr>
          <w:b/>
        </w:rPr>
        <w:t>E. 4.1</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120 II 31 consid. 4a; voir aussi ATF 140 III 496 consid. 4.1; 138 III 59 consid. 2.1). La validité d'un congé doit être appréciée en fonction des circonstances présentes au moment de cette manifestation de volonté (ATF 142 III 91 consid. 3.2.1; ATF 140 III 496 et 138 III 59, ibid.; arrêt du Tribunal fédéral 4A_346/2016, 4A_358/2016 du 17 janvier 2017 consid. 3).</w:t>
      </w:r>
    </w:p>
    <w:p>
      <w:r>
        <w:t>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4A.472/2007du 11 mars 2008 consid. 2.1). Il n'appartient pas au bailleur de démontrer sa bonne foi car cela reviendrait à</w:t>
      </w:r>
    </w:p>
    <w:p>
      <w:r>
        <w:t>- 14/15 -</w:t>
      </w:r>
    </w:p>
    <w:p>
      <w:r>
        <w:t>C/28095/2017 renverser le fardeau de la preuve (ACJ/334/2002 du 18 mars 2002; BARBEY, Commentaire du droit du bail, 1991, n. 202). Il appartient au locataire qui conteste un congé estimé abusif de prouver l'abus à satisfaction de droit. Faute de preuve, le congé est valable (USPI, Commentaire du bail à loyer, n. 10 ad art. 271 CO).</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op. cit., Lausanne 2008, p. 735 s.).</w:t>
      </w:r>
    </w:p>
    <w:p>
      <w:r>
        <w:rPr>
          <w:b/>
        </w:rPr>
        <w:t>E. 4.2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du Tribunal fédéral 5A_250/2012 du 18 mai 2012 consid. 7.4.1). Il n'y a pas de hiérarchie légale entre les moyens de preuves autorisés (SCHWEIZER, in Code de procédure civile commenté, 2011, n. 19 ad art. 157 CPC). Les moyens de preuve autorisés sont énoncés à l'art. 168 CPC. Cette norme prévoit entre autres l'interrogatoire des parties (art. 191 CPC) et le jugement peut donc pleinement se fonder sur celui-ci (arrêt du Tribunal fédéral 5A_113/2015 du 3 juillet 2015 consid. 3.2; 4A_498/2014 du 3 février 2015 consid. 3.3).</w:t>
      </w:r>
    </w:p>
    <w:p>
      <w:r>
        <w:rPr>
          <w:b/>
        </w:rPr>
        <w:t>E. 4.3</w:t>
      </w:r>
    </w:p>
    <w:p>
      <w:r>
        <w:t>En l'espèce, le Tribunal a retenu que l'appelant n'avait pas explicité en quoi le congé serait abusif, ni rendu vraisemblable un comportement contraire aux règles de la bonne foi de l'intimé. L'appelant se contente d'alléguer que l'intimé n'aurait pas démontré à quel but il destinait les locaux en cause, point qui n'est pas pertinent pour l'issue du litige. L'intimé a motivé durant la procédure le congé par la dégradation des relations entre les parties depuis 2015, l'installation sans droit d'une culture hydroponique et le conflit lié à la facture d'électricité. L'appelant n'a pas contesté ces faits, lesquels ont par ailleurs été établis par la procédure.</w:t>
      </w:r>
    </w:p>
    <w:p>
      <w:r>
        <w:rPr>
          <w:b/>
        </w:rPr>
        <w:t>E. 4.4</w:t>
      </w:r>
    </w:p>
    <w:p>
      <w:r>
        <w:t>Le congé n'est ainsi pas contraire à la bonne foi.</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C/28095/2017 PAR CES MOTIFS, La Chambre des baux et loyers : A la forme : Déclare recevable l'appel interjeté le 14 septembre 2018 par A______ contre le jugement JTBL/707/2018 rendu le 31 juillet 2018 par le Tribunal des baux et loyers dans la cause C/28095/2017 en tant qu'il concerne les conclusions en annulation du congé. Le déclare irrecevable pour le surplus.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