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ACJC/190/2015 vom 20. Februar 2015</w:t>
      </w:r>
    </w:p>
    <w:p>
      <w:r>
        <w:t>GE Cour de justice, 2015-02-20, FR</w:t>
      </w:r>
    </w:p>
    <w:p>
      <w:r>
        <w:rPr>
          <w:b/>
        </w:rPr>
        <w:t xml:space="preserve">Quelle: </w:t>
      </w:r>
      <w:r>
        <w:t>https://mcp.opencaselaw.ch/entscheid/ge_gerichte_ACJC_190_2015</w:t>
      </w:r>
    </w:p>
    <w:p>
      <w:r>
        <w:t>FR: GE_GERICHTE ACJC/190/2015 du 20 février 2015</w:t>
      </w:r>
    </w:p>
    <w:p>
      <w:r>
        <w:t>IT: GE_GERICHTE ACJC/190/2015 del 20 febbraio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w:t>
      </w:r>
    </w:p>
    <w:p>
      <w:r>
        <w:rPr>
          <w:b/>
        </w:rPr>
        <w:t>E. 1.2</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w:t>
      </w:r>
    </w:p>
    <w:p>
      <w:r>
        <w:t>- 8/12 -</w:t>
      </w:r>
    </w:p>
    <w:p>
      <w:r>
        <w:t>C/9812/2014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En l'espèce, la pièce nouvelle produite par la recourante est recevable, puisqu'elle a été redigée après que le Tribunal avait gardé la présente cause à juger. En tout état, celle-ci est sans pertinence pour l'issue du litige.</w:t>
      </w:r>
    </w:p>
    <w:p>
      <w:r>
        <w:rPr>
          <w:b/>
        </w:rPr>
        <w:t>E. 1.3</w:t>
      </w:r>
    </w:p>
    <w:p>
      <w:r>
        <w:t>Le recours peut être formé pour violation du droit et constatation manifestement inexacte des faits (art. 320 CPC).</w:t>
      </w:r>
    </w:p>
    <w:p>
      <w:r>
        <w:rPr>
          <w:b/>
        </w:rPr>
        <w:t>E. 2</w:t>
      </w:r>
    </w:p>
    <w:p>
      <w:r>
        <w:t>La recourante reproche au Tribunal d'avoir violé le droit, en particulier les art. 271, 272 et 273 LP, et d'avoir procédé à une constatation manifestement inexacte des faits, en retenant que l'intimé avait rendu vraisemblables l'existence de la créance, d'une part, ainsi que le cas de séquestre et l'existence de biens appartenant au débiteur, d'autre part, et en refusant d'ordonner des sûretés.</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- 9/12 -</w:t>
      </w:r>
    </w:p>
    <w:p>
      <w:r>
        <w:t>C/9812/2014</w:t>
      </w:r>
    </w:p>
    <w:p>
      <w:r>
        <w:t>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w:t>
      </w:r>
    </w:p>
    <w:p>
      <w:r>
        <w:rPr>
          <w:b/>
        </w:rPr>
        <w:t>E. 2.2</w:t>
      </w:r>
    </w:p>
    <w:p>
      <w:r>
        <w:t>En l'espèce, l'intimé fait valoir à l'encontre de la recourante une créance en restitution d'une donation. L'ordonnance de séquestre du 23 mai 2014 mentionne comme titre de la créance l'invalidation de la donation du 26 janvier 2009 par l'action introduite le 28 avril 2014 au Tribunal par E______ et F______ (C/______). Dans cette demande, intitulée "action en constatation de la nullité et en restitution d'une donation", le versement litigieux est décrit, pièces à l'appui, comme une avance d'hoirie faite par l'intimé à son fils D______, qui a été enrichi personnellement, même si le versement est intervenu sur un compte bancaire de la recourante, société appartenant à ce dernier. Cette qualification correspond à celle communiquée le 5 novembre 2009 au conseil de D______ par le conseil de la co- curatrice de l'intimé. De plus, cette dernière, par l'intermédiaire de son conseil, a exposé le 29 avril 2014 au Tribunal de protection de l'adulte et de l'enfant que le 26 janvier 2009 elle avait effectué une donation en faveur de D______ sur le compte de la société de celui-ci. C'est sans doute la co-curatrice qui a communiqué au curateur ad hoc, qui représente l'intimé dans la présente procédure, les renseignements nécessaires à la rédaction de la requête en séquestre. Dans celle-ci, l'intimé allègue que le versement litigieux a été effectué en faveur de D______ sur un compte bancaire de sa société, pour des raisons propres à celui-ci, à titre d'avance sur héritage. Il produit comme moyen de preuve relatif à cet allégué la lettre du 5 novembre 2009 du conseil de sa co-curatrice à celui de son fils D______. En conclusion, l'intimé n'a pas rendu vraisemblable l'existence d'une créance à l'encontre de la recourante, dans la mesure où selon ses propres allégations et les</w:t>
      </w:r>
    </w:p>
    <w:p>
      <w:r>
        <w:t>- 10/12 -</w:t>
      </w:r>
    </w:p>
    <w:p>
      <w:r>
        <w:t>C/9812/2014 pièces auxquelles il fait référence, son prétendu débiteur serait son fils D______. Pour ces mêmes raisons, l'existence de biens appartenant au débiteur séquestré n'est pas rendue vraisemblable. Au contraire, l'intimé allègue et rend vraisemblable que les biens à séquestrer appartiennent à son fils et non pas la société de celui-ci. Le recours sera dès lors admis, le jugement attaqué annulé et le séquestre révoqué. 3. L'intimé, qui succombe, supportera les frais de première instance et de recours (art. 106 al. 1 CPC). Les frais judiciaires seront fixés à 5'000 fr. au total (2'000 fr. pour la première instance et 3'000 fr. pour la seconde instance; art. 48 et 61 al. 1 OELP). Ils seront compensés avec les avances de frais effectuées par la recourante (art. 111 al. 1 CPC), qui restent acquises à l'Etat. L'intimé sera, dès lors, condamné à restituer à la recourante la somme de 5'000 fr. qu'elle a versée à titre d'avances de frais (art. 111 al. 2 CPC). L'intimé sera en outre condamnée à verser la somme de 4'000 fr. à la recourante à titre de dépens des deux instances, débours et TVA compris (art. 105 al. 2, 106 al. 1, 111 al. 2 CPC, art. 85, 89 et 90 RTFMC, art. 25 et 26 LaCC). * * * * *</w:t>
      </w:r>
    </w:p>
    <w:p>
      <w:r>
        <w:t>- 11/12 -</w:t>
      </w:r>
    </w:p>
    <w:p>
      <w:r>
        <w:t>C/9812/2014 PAR CES MOTIFS, La Chambre civile : A la forme : Déclare recevable le recours interjeté le 23 décembre 2014 par A______ contre le jugement OSQ/49/2014 rendu le 12 décembre 2014 par le Tribunal de première instance dans la cause C/9812/2014-19 SQP. Au fond : Annule le jugement OSQ/49/2014. Cela fait, statuant à nouveau : Révoque le séquestre n° 14 070 253 W ordonné par le Tribunal de première instance le 23 mai 2014. Déboute les parties de toutes autres conclusions. Sur les frais : Arrête les frais judiciaires de première instance et de recours à 5'000 fr., les met à la charge de B______ et les compense avec les avances fournies, qui restent acquises à l'Etat de Genève. Condamne B______ à verser à A______ la somme de 5'000 fr. à titre de remboursement des avances de frais fournies. Condamne B______ à verser à A______ la somme de 4'000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- 12/12 -</w:t>
      </w:r>
    </w:p>
    <w:p>
      <w:r>
        <w:t>C/9812/2014</w:t>
      </w:r>
    </w:p>
    <w:p>
      <w:r>
        <w:t>Indication des voies de recours :</w:t>
      </w:r>
    </w:p>
    <w:p>
      <w:r>
        <w:t>Le Tribunal fédéral connaît, comme juridiction ordinaire de recours, des recours en matière civile; la qualité et les autres conditions pour interjeter recours sont déterminées par les art. 72 ss de la loi sur le Tribunal fédéral du 17 juin 2005 (LTF; RS 173.110).</w:t>
      </w:r>
    </w:p>
    <w:p>
      <w:r>
        <w:t>Le recours doit être adressé au Tribunal fédéral, 1000 Lausanne 14.</w:t>
      </w:r>
    </w:p>
    <w:p>
      <w:r>
        <w:t>Valeur litigieuse des conclusions pécuniaires au sens de la LTF supérieure ou égale à 30'000 fr.</w:t>
      </w:r>
    </w:p>
    <w:p>
      <w:r>
        <w:rPr>
          <w:b/>
        </w:rPr>
        <w:t>E. 5</w:t>
      </w:r>
    </w:p>
    <w:p>
      <w:r>
        <w:t>mars 2012 consid. 2.1).</w:t>
      </w:r>
    </w:p>
    <w:p>
      <w:r>
        <w:t>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 4 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